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glossary/endnotes.xml" ContentType="application/vnd.openxmlformats-officedocument.wordprocessingml.endnotes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document.xml" ContentType="application/vnd.openxmlformats-officedocument.wordprocessingml.document.glossary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021"/>
      </w:tblGrid>
      <w:tr>
        <w:tblPrEx/>
        <w:trPr>
          <w:jc w:val="right"/>
        </w:trPr>
        <w:tc>
          <w:tcPr>
            <w:tcW w:w="5021" w:type="dxa"/>
            <w:textDirection w:val="lrTb"/>
            <w:noWrap w:val="false"/>
          </w:tcPr>
          <w:tbl>
            <w:tblPr>
              <w:tblW w:w="0" w:type="auto"/>
              <w:jc w:val="right"/>
              <w:tblLook w:val="01E0" w:firstRow="1" w:lastRow="1" w:firstColumn="1" w:lastColumn="1" w:noHBand="0" w:noVBand="0"/>
            </w:tblPr>
            <w:tblGrid>
              <w:gridCol w:w="4805"/>
            </w:tblGrid>
            <w:tr>
              <w:tblPrEx/>
              <w:trPr>
                <w:jc w:val="right"/>
              </w:trPr>
              <w:tc>
                <w:tcPr>
                  <w:tcW w:w="5021" w:type="dxa"/>
                  <w:textDirection w:val="lrTb"/>
                  <w:noWrap w:val="false"/>
                </w:tcPr>
                <w:p>
                  <w:pPr>
                    <w:ind w:firstLine="0"/>
                    <w:jc w:val="left"/>
                    <w:spacing w:line="240" w:lineRule="auto"/>
                    <w:rPr>
                      <w:b/>
                      <w:bCs/>
                      <w:sz w:val="22"/>
                      <w:szCs w:val="22"/>
                    </w:rPr>
                  </w:pPr>
                  <w:r/>
                  <w:bookmarkStart w:id="0" w:name="_Ref57670950"/>
                  <w:r/>
                  <w:bookmarkStart w:id="1" w:name="_Toc69729053"/>
                  <w:r/>
                  <w:bookmarkStart w:id="2" w:name="_Ref55337964"/>
                  <w:r>
                    <w:rPr>
                      <w:b/>
                      <w:sz w:val="22"/>
                      <w:szCs w:val="22"/>
                    </w:rPr>
                    <w:t xml:space="preserve">«УТВЕРЖДАЮ»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jc w:val="right"/>
              </w:trPr>
              <w:tc>
                <w:tcPr>
                  <w:tcW w:w="5021" w:type="dxa"/>
                  <w:textDirection w:val="lrTb"/>
                  <w:noWrap w:val="false"/>
                </w:tcPr>
                <w:p>
                  <w:pPr>
                    <w:ind w:right="39" w:firstLine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П</w:t>
                  </w:r>
                  <w:r>
                    <w:rPr>
                      <w:bCs/>
                      <w:sz w:val="22"/>
                      <w:szCs w:val="22"/>
                    </w:rPr>
                    <w:t xml:space="preserve">редседател</w:t>
                  </w:r>
                  <w:r>
                    <w:rPr>
                      <w:bCs/>
                      <w:sz w:val="22"/>
                      <w:szCs w:val="22"/>
                    </w:rPr>
                    <w:t xml:space="preserve">ь</w:t>
                  </w:r>
                  <w:r>
                    <w:rPr>
                      <w:bCs/>
                      <w:sz w:val="22"/>
                      <w:szCs w:val="22"/>
                    </w:rPr>
                    <w:t xml:space="preserve"> закупочной комиссии </w:t>
                  </w:r>
                  <w:r>
                    <w:rPr>
                      <w:bCs/>
                      <w:sz w:val="22"/>
                      <w:szCs w:val="22"/>
                    </w:rPr>
                    <w:t xml:space="preserve">-</w:t>
                  </w: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jc w:val="left"/>
                    <w:spacing w:line="240" w:lineRule="auto"/>
                    <w:tabs>
                      <w:tab w:val="left" w:pos="690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Исполняющий обязанности</w:t>
                  </w:r>
                  <w:r>
                    <w:rPr>
                      <w:sz w:val="22"/>
                      <w:szCs w:val="22"/>
                    </w:rPr>
                    <w:t xml:space="preserve"> н</w:t>
                  </w:r>
                  <w:r>
                    <w:rPr>
                      <w:sz w:val="22"/>
                      <w:szCs w:val="22"/>
                    </w:rPr>
                    <w:t xml:space="preserve">ачальн</w:t>
                  </w:r>
                  <w:r>
                    <w:rPr>
                      <w:sz w:val="22"/>
                      <w:szCs w:val="22"/>
                    </w:rPr>
                    <w:t xml:space="preserve">ик</w:t>
                  </w:r>
                  <w:r>
                    <w:rPr>
                      <w:sz w:val="22"/>
                      <w:szCs w:val="22"/>
                    </w:rPr>
                    <w:t xml:space="preserve">а</w:t>
                  </w:r>
                  <w:r>
                    <w:rPr>
                      <w:sz w:val="22"/>
                      <w:szCs w:val="22"/>
                    </w:rPr>
                    <w:t xml:space="preserve"> департамента </w:t>
                  </w:r>
                  <w:r>
                    <w:rPr>
                      <w:sz w:val="22"/>
                      <w:szCs w:val="22"/>
                    </w:rPr>
                    <w:t xml:space="preserve">логистики и МТО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jc w:val="left"/>
                    <w:spacing w:after="120" w:line="240" w:lineRule="auto"/>
                    <w:tabs>
                      <w:tab w:val="left" w:pos="690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ПАО «</w:t>
                  </w:r>
                  <w:r>
                    <w:rPr>
                      <w:sz w:val="22"/>
                      <w:szCs w:val="22"/>
                    </w:rPr>
                    <w:t xml:space="preserve">Россети </w:t>
                  </w:r>
                  <w:r>
                    <w:rPr>
                      <w:sz w:val="22"/>
                      <w:szCs w:val="22"/>
                    </w:rPr>
                    <w:t xml:space="preserve">Ленэнерго»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Парфенов Н.Н</w:t>
                  </w:r>
                  <w:r>
                    <w:rPr>
                      <w:sz w:val="22"/>
                      <w:szCs w:val="22"/>
                    </w:rPr>
                    <w:t xml:space="preserve">.</w:t>
                  </w:r>
                  <w:r>
                    <w:rPr>
                      <w:bCs/>
                      <w:sz w:val="22"/>
                      <w:szCs w:val="22"/>
                    </w:rPr>
                    <w:t xml:space="preserve">______________</w:t>
                  </w: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/>
                  <w:sdt>
                    <w:sdtPr>
                      <w:alias w:val="lenPlanAnnounceDate"/>
                      <w15:appearance w15:val="boundingBox"/>
                      <w:id w:val="330029294"/>
                      <w:lock w:val="sdtLocked"/>
                      <w:placeholder>
                        <w:docPart w:val="DefaultPlaceholder_-1854013440"/>
                      </w:placeholder>
                      <w:tag w:val="lenPlanAnnounceDate"/>
                      <w:rPr>
                        <w:bCs/>
                        <w:sz w:val="22"/>
                        <w:szCs w:val="22"/>
                      </w:rPr>
                    </w:sdtPr>
                    <w:sdtContent>
                      <w:r>
                        <w:rPr>
                          <w:sz w:val="22"/>
                          <w:szCs w:val="22"/>
                        </w:rPr>
                        <w:t xml:space="preserve">«26</w:t>
                      </w:r>
                      <w:r>
                        <w:rPr>
                          <w:sz w:val="22"/>
                          <w:szCs w:val="22"/>
                        </w:rPr>
                        <w:t xml:space="preserve">» мая </w:t>
                      </w:r>
                      <w:r>
                        <w:rPr>
                          <w:sz w:val="22"/>
                          <w:szCs w:val="22"/>
                        </w:rPr>
                        <w:t xml:space="preserve"> 202</w:t>
                      </w:r>
                      <w:r>
                        <w:rPr>
                          <w:sz w:val="22"/>
                          <w:szCs w:val="22"/>
                        </w:rPr>
                        <w:t xml:space="preserve">6 г.</w:t>
                      </w:r>
                    </w:sdtContent>
                  </w:sdt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r/>
            <w:r/>
          </w:p>
        </w:tc>
      </w:tr>
    </w:tbl>
    <w:p>
      <w:pPr>
        <w:ind w:firstLine="0"/>
        <w:jc w:val="center"/>
        <w:spacing w:line="240" w:lineRule="auto"/>
        <w:rPr>
          <w:b/>
          <w:bCs/>
          <w:sz w:val="22"/>
          <w:szCs w:val="22"/>
        </w:rPr>
      </w:pPr>
      <w:r>
        <w:rPr>
          <w:b/>
          <w:sz w:val="22"/>
          <w:szCs w:val="22"/>
          <w:highlight w:val="none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firstLine="0"/>
        <w:jc w:val="center"/>
        <w:spacing w:line="240" w:lineRule="auto"/>
        <w:rPr>
          <w:b/>
          <w:bCs/>
          <w:sz w:val="22"/>
          <w:szCs w:val="22"/>
          <w:highlight w:val="none"/>
        </w:rPr>
      </w:pPr>
      <w:r>
        <w:rPr>
          <w:b/>
          <w:sz w:val="22"/>
          <w:szCs w:val="22"/>
        </w:rPr>
        <w:t xml:space="preserve">Извещение о проведении запроса </w:t>
      </w:r>
      <w:bookmarkEnd w:id="0"/>
      <w:r/>
      <w:bookmarkEnd w:id="1"/>
      <w:r>
        <w:rPr>
          <w:b/>
          <w:sz w:val="22"/>
          <w:szCs w:val="22"/>
        </w:rPr>
        <w:t xml:space="preserve">цен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по результатам</w:t>
      </w:r>
      <w:r>
        <w:rPr>
          <w:b/>
          <w:sz w:val="22"/>
          <w:szCs w:val="22"/>
        </w:rPr>
        <w:t xml:space="preserve"> конкурентного</w:t>
      </w:r>
      <w:r>
        <w:rPr>
          <w:b/>
          <w:sz w:val="22"/>
          <w:szCs w:val="22"/>
        </w:rPr>
        <w:t xml:space="preserve"> </w:t>
      </w:r>
      <w:sdt>
        <w:sdtPr>
          <w:alias w:val="Condition"/>
          <w15:appearance w15:val="boundingBox"/>
          <w:id w:val="1314611135"/>
          <w:placeholder>
            <w:docPart w:val="90A8278D82B84D1DAA04A217EDF5878F"/>
          </w:placeholder>
          <w:tag w:val="Condition"/>
          <w:rPr>
            <w:sz w:val="22"/>
            <w:szCs w:val="22"/>
          </w:rPr>
        </w:sdtPr>
        <w:sdtContent>
          <w:r>
            <w:rPr>
              <w:b/>
              <w:sz w:val="22"/>
              <w:szCs w:val="22"/>
            </w:rPr>
            <w:t xml:space="preserve">предварительного</w:t>
          </w:r>
        </w:sdtContent>
      </w:sdt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отбора</w:t>
      </w:r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none"/>
        </w:rPr>
      </w:r>
    </w:p>
    <w:p>
      <w:pPr>
        <w:ind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электронной форме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sz w:val="22"/>
          <w:szCs w:val="22"/>
        </w:rPr>
        <w:t xml:space="preserve">на п</w:t>
      </w:r>
      <w:r>
        <w:rPr>
          <w:sz w:val="22"/>
          <w:szCs w:val="22"/>
        </w:rPr>
        <w:t xml:space="preserve">раво заключения рамочного соглашения на выполнение проектных изыскательских работ, строительно-монтажных работ (с поставкой оборудования) и полного комплекса проектных, изыскательских, строительно-монтажных и прочих работ на электросетевых объектах, в целя</w:t>
      </w:r>
      <w:r>
        <w:rPr>
          <w:sz w:val="22"/>
          <w:szCs w:val="22"/>
        </w:rPr>
        <w:t xml:space="preserve">х</w:t>
      </w:r>
      <w:r>
        <w:rPr>
          <w:sz w:val="22"/>
          <w:szCs w:val="22"/>
        </w:rPr>
        <w:t xml:space="preserve"> осуществления технологического присоединения Заявителей, повышения надежности электросетевого комплекса, а также в целях осуществления мероприятий для исполнения обязательств по сносу и восстановлению электросетевых объектов, попадающих в зону производств</w:t>
      </w:r>
      <w:r>
        <w:rPr>
          <w:sz w:val="22"/>
          <w:szCs w:val="22"/>
        </w:rPr>
        <w:t xml:space="preserve">а</w:t>
      </w:r>
      <w:r>
        <w:rPr>
          <w:sz w:val="22"/>
          <w:szCs w:val="22"/>
        </w:rPr>
        <w:t xml:space="preserve"> работ третьих лиц и прочие (дополнительные нетарифные) услуги по филиалу ПАО «Россети Ленэнерго» «Дирекция строящихся объектов», филиалу ПАО «Россети Ленэнерго» «Северные электрические сети», филиалу ПАО «Россети Ленэнерго» «Южные электрические сети», фил</w:t>
      </w:r>
      <w:r>
        <w:rPr>
          <w:sz w:val="22"/>
          <w:szCs w:val="22"/>
        </w:rPr>
        <w:t xml:space="preserve">и</w:t>
      </w:r>
      <w:r>
        <w:rPr>
          <w:sz w:val="22"/>
          <w:szCs w:val="22"/>
        </w:rPr>
        <w:t xml:space="preserve">алам ПАО «Россети Ленэнерго» «Кабельная сеть», филиалу «Санкт-Петербургские высоковольтные электрические сети», филиалу ПАО «Россети Ленэнерго» «Кингисеппские электрические сети», филиалу ПАО «Россети Ленэнерго» «Выборгские электрические сети», филиалу ПАО</w:t>
      </w:r>
      <w:r>
        <w:rPr>
          <w:sz w:val="22"/>
          <w:szCs w:val="22"/>
        </w:rPr>
        <w:t xml:space="preserve"> «Россети Ленэнерго» «Гатчинские электрические сети» - общим объемом работ не более  4 999 226 784,00 руб. с НДС (251800)</w:t>
      </w: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2"/>
          <w:szCs w:val="22"/>
        </w:rPr>
        <w:t xml:space="preserve">ЗЦ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№</w:t>
      </w:r>
      <w:r>
        <w:rPr>
          <w:b/>
          <w:sz w:val="22"/>
          <w:szCs w:val="22"/>
        </w:rPr>
        <w:t xml:space="preserve"> </w:t>
      </w:r>
      <w:sdt>
        <w:sdtPr>
          <w:alias w:val="NumberP"/>
          <w15:appearance w15:val="boundingBox"/>
          <w:id w:val="100839953"/>
          <w:lock w:val="sdtLocked"/>
          <w:placeholder>
            <w:docPart w:val="DefaultPlaceholder_-1854013440"/>
          </w:placeholder>
          <w:tag w:val="NumberP"/>
          <w:rPr>
            <w:b/>
            <w:sz w:val="22"/>
            <w:szCs w:val="22"/>
          </w:rPr>
        </w:sdtPr>
        <w:sdtContent>
          <w:r>
            <w:rPr>
              <w:b/>
              <w:sz w:val="22"/>
              <w:szCs w:val="22"/>
            </w:rPr>
            <w:t xml:space="preserve">251800</w:t>
          </w:r>
          <w:r>
            <w:rPr>
              <w:b/>
              <w:sz w:val="22"/>
              <w:szCs w:val="22"/>
            </w:rPr>
            <w:t xml:space="preserve">/1/</w:t>
          </w:r>
          <w:r>
            <w:rPr>
              <w:b/>
              <w:sz w:val="22"/>
              <w:szCs w:val="22"/>
            </w:rPr>
            <w:t xml:space="preserve">2</w:t>
          </w:r>
        </w:sdtContent>
      </w:sdt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от</w:t>
      </w:r>
      <w:r>
        <w:rPr>
          <w:b/>
          <w:sz w:val="22"/>
          <w:szCs w:val="22"/>
        </w:rPr>
        <w:t xml:space="preserve"> </w:t>
      </w:r>
      <w:sdt>
        <w:sdtPr>
          <w:alias w:val="lenPlanAnnounceDate"/>
          <w15:appearance w15:val="boundingBox"/>
          <w:id w:val="-704867871"/>
          <w:lock w:val="sdtLocked"/>
          <w:placeholder>
            <w:docPart w:val="DefaultPlaceholder_-1854013440"/>
          </w:placeholder>
          <w:tag w:val="lenPlanAnnounceDate"/>
          <w:rPr>
            <w:b/>
            <w:sz w:val="22"/>
            <w:szCs w:val="22"/>
          </w:rPr>
        </w:sdtPr>
        <w:sdtContent>
          <w:r>
            <w:rPr>
              <w:b/>
              <w:sz w:val="22"/>
              <w:szCs w:val="22"/>
            </w:rPr>
            <w:t xml:space="preserve">«26</w:t>
          </w:r>
          <w:r>
            <w:rPr>
              <w:b/>
              <w:sz w:val="22"/>
              <w:szCs w:val="22"/>
            </w:rPr>
            <w:t xml:space="preserve">» мая</w:t>
          </w:r>
          <w:r>
            <w:rPr>
              <w:b/>
              <w:sz w:val="22"/>
              <w:szCs w:val="22"/>
            </w:rPr>
            <w:t xml:space="preserve"> 202</w:t>
          </w:r>
          <w:r>
            <w:rPr>
              <w:b/>
              <w:sz w:val="22"/>
              <w:szCs w:val="22"/>
            </w:rPr>
            <w:t xml:space="preserve">6 г.</w:t>
          </w:r>
        </w:sdtContent>
      </w:sdt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3365" w:firstLine="0"/>
        <w:jc w:val="left"/>
        <w:spacing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contextualSpacing/>
        <w:ind w:right="3365" w:firstLine="0"/>
        <w:spacing w:line="240" w:lineRule="auto"/>
        <w:widowControl w:val="off"/>
        <w:rPr>
          <w:sz w:val="22"/>
          <w:szCs w:val="22"/>
        </w:rPr>
      </w:pPr>
      <w:r/>
      <w:bookmarkStart w:id="3" w:name="_Ref307488551"/>
      <w:r>
        <w:rPr>
          <w:sz w:val="22"/>
          <w:szCs w:val="22"/>
        </w:rPr>
        <w:t xml:space="preserve">СОГЛАСОВАНО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3380" w:type="dxa"/>
        <w:tblLook w:val="04A0" w:firstRow="1" w:lastRow="0" w:firstColumn="1" w:lastColumn="0" w:noHBand="0" w:noVBand="1"/>
      </w:tblPr>
      <w:tblGrid>
        <w:gridCol w:w="7598"/>
        <w:gridCol w:w="1866"/>
        <w:gridCol w:w="3916"/>
      </w:tblGrid>
      <w:tr>
        <w:tblPrEx/>
        <w:trPr>
          <w:trHeight w:val="2397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Заместитель председателя </w:t>
            </w:r>
            <w:r>
              <w:rPr>
                <w:bCs/>
                <w:sz w:val="22"/>
                <w:szCs w:val="22"/>
              </w:rPr>
              <w:t xml:space="preserve">закупочной комиссии</w:t>
            </w:r>
            <w:r>
              <w:rPr>
                <w:bCs/>
                <w:sz w:val="22"/>
                <w:szCs w:val="22"/>
              </w:rPr>
              <w:t xml:space="preserve"> -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Директор по безопасности - н</w:t>
            </w:r>
            <w:r>
              <w:rPr>
                <w:rFonts w:eastAsia="Calibri"/>
                <w:sz w:val="22"/>
                <w:szCs w:val="22"/>
              </w:rPr>
              <w:t xml:space="preserve">ачальник департамента безопасности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ПАО «</w:t>
            </w:r>
            <w:r>
              <w:rPr>
                <w:sz w:val="22"/>
                <w:szCs w:val="22"/>
              </w:rPr>
              <w:t xml:space="preserve">Россети </w:t>
            </w:r>
            <w:r>
              <w:rPr>
                <w:sz w:val="22"/>
                <w:szCs w:val="22"/>
              </w:rPr>
              <w:t xml:space="preserve">Ленэнерго</w:t>
            </w:r>
            <w:r>
              <w:rPr>
                <w:rFonts w:eastAsia="Calibri"/>
                <w:sz w:val="22"/>
                <w:szCs w:val="22"/>
              </w:rPr>
              <w:t xml:space="preserve">» </w:t>
            </w:r>
            <w:r>
              <w:rPr>
                <w:rFonts w:eastAsia="Calibri"/>
                <w:sz w:val="22"/>
                <w:szCs w:val="22"/>
              </w:rPr>
              <w:t xml:space="preserve">Захаров А.В</w:t>
            </w:r>
            <w:r>
              <w:rPr>
                <w:rFonts w:eastAsia="Calibri"/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Члены комиссии: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Исполняющий обязанности директора по финансам – начальника департамента финансов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ПАО «</w:t>
            </w:r>
            <w:r>
              <w:rPr>
                <w:sz w:val="22"/>
                <w:szCs w:val="22"/>
              </w:rPr>
              <w:t xml:space="preserve">Россети </w:t>
            </w:r>
            <w:r>
              <w:rPr>
                <w:sz w:val="22"/>
                <w:szCs w:val="22"/>
              </w:rPr>
              <w:t xml:space="preserve">Ленэнерго</w:t>
            </w:r>
            <w:r>
              <w:rPr>
                <w:sz w:val="22"/>
                <w:szCs w:val="22"/>
              </w:rPr>
              <w:t xml:space="preserve">»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Гаас О.А.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391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609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Заместитель начальника отдела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правовой экспертизы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 ПАО «</w:t>
            </w:r>
            <w:r>
              <w:rPr>
                <w:sz w:val="22"/>
                <w:szCs w:val="22"/>
              </w:rPr>
              <w:t xml:space="preserve">Россети </w:t>
            </w:r>
            <w:r>
              <w:rPr>
                <w:sz w:val="22"/>
                <w:szCs w:val="22"/>
              </w:rPr>
              <w:t xml:space="preserve">Ленэнерго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» Подольский В.А.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703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антикоррупционных комплаенс-процедур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ПАО «</w:t>
            </w:r>
            <w:r>
              <w:rPr>
                <w:sz w:val="22"/>
                <w:szCs w:val="22"/>
              </w:rPr>
              <w:t xml:space="preserve">Россети </w:t>
            </w:r>
            <w:r>
              <w:rPr>
                <w:sz w:val="22"/>
                <w:szCs w:val="22"/>
              </w:rPr>
              <w:t xml:space="preserve">Ленэнерго</w:t>
            </w:r>
            <w:r>
              <w:rPr>
                <w:sz w:val="22"/>
                <w:szCs w:val="22"/>
              </w:rPr>
              <w:t xml:space="preserve">» Чумак Ю.В.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908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главного инженера по высоковольтным сетям – начальник департамента высоковольтных сетей ПАО «Россети Ленэнерго» Батанов П.В.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703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 Сафонов А.М.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588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sz w:val="22"/>
                <w:szCs w:val="22"/>
              </w:rPr>
            </w:r>
            <w:sdt>
              <w:sdtPr>
                <w:alias w:val="lenPurchInitiator"/>
                <w15:appearance w15:val="boundingBox"/>
                <w:label w:val="0"/>
                <w:lock w:val="sdtLocked"/>
                <w:placeholder>
                  <w:docPart w:val="c9f140cc06f04b0c86cf76635ceddfc1"/>
                </w:placeholder>
                <w:tag w:val="lenPurchInitiator"/>
                <w:rPr>
                  <w:color w:val="ffffff" w:themeColor="background1"/>
                  <w:sz w:val="22"/>
                  <w:szCs w:val="22"/>
                </w:rPr>
              </w:sdtPr>
              <w:sdtContent>
                <w:r>
                  <w:rPr>
                    <w:sz w:val="22"/>
                    <w:szCs w:val="22"/>
                  </w:rPr>
                  <w:t xml:space="preserve">Директор</w:t>
                </w:r>
                <w:r>
                  <w:rPr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 xml:space="preserve">филиала ПАО «Россети Ленэнерго» «СПбВС</w:t>
                </w:r>
                <w:r>
                  <w:rPr>
                    <w:rFonts w:ascii="Times New Roman" w:hAnsi="Times New Roman"/>
                    <w:sz w:val="22"/>
                    <w:szCs w:val="22"/>
                  </w:rPr>
                </w:r>
                <w:r>
                  <w:rPr>
                    <w:sz w:val="22"/>
                    <w:szCs w:val="22"/>
                  </w:rPr>
                  <w:t xml:space="preserve">»</w:t>
                </w:r>
              </w:sdtContent>
            </w:sdt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Шулаков Н.А.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contextualSpacing/>
              <w:ind w:firstLine="0"/>
              <w:spacing w:line="240" w:lineRule="auto"/>
              <w:rPr>
                <w:color w:val="ffffff" w:themeColor="background1"/>
                <w:sz w:val="22"/>
                <w:szCs w:val="22"/>
              </w:rPr>
            </w:pPr>
            <w:r>
              <w:rPr>
                <w:color w:val="ffffff" w:themeColor="background1"/>
                <w:sz w:val="22"/>
                <w:szCs w:val="22"/>
              </w:rPr>
            </w:r>
            <w:r>
              <w:rPr>
                <w:color w:val="ffffff" w:themeColor="background1"/>
                <w:sz w:val="22"/>
                <w:szCs w:val="22"/>
              </w:rPr>
            </w:r>
            <w:r>
              <w:rPr>
                <w:color w:val="ffffff" w:themeColor="background1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color w:val="ffffff" w:themeColor="background1"/>
                <w:sz w:val="22"/>
                <w:szCs w:val="22"/>
                <w:u w:val="single"/>
              </w:rPr>
            </w:pPr>
            <w:r>
              <w:rPr>
                <w:rFonts w:eastAsia="Calibri"/>
                <w:color w:val="ffffff" w:themeColor="background1"/>
                <w:sz w:val="22"/>
                <w:szCs w:val="22"/>
                <w:u w:val="single"/>
              </w:rPr>
            </w:r>
            <w:r>
              <w:rPr>
                <w:rFonts w:eastAsia="Calibri"/>
                <w:color w:val="ffffff" w:themeColor="background1"/>
                <w:sz w:val="22"/>
                <w:szCs w:val="22"/>
                <w:u w:val="single"/>
              </w:rPr>
            </w:r>
            <w:r>
              <w:rPr>
                <w:rFonts w:eastAsia="Calibri"/>
                <w:color w:val="ffffff" w:themeColor="background1"/>
                <w:sz w:val="22"/>
                <w:szCs w:val="22"/>
                <w:u w:val="single"/>
              </w:rPr>
            </w:r>
          </w:p>
        </w:tc>
      </w:tr>
      <w:tr>
        <w:tblPrEx/>
        <w:trPr>
          <w:gridAfter w:val="1"/>
          <w:trHeight w:val="678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Ответственный секретарь -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/>
            <w:sdt>
              <w:sdtPr>
                <w:alias w:val="PurchasePerformerPos"/>
                <w15:appearance w15:val="boundingBox"/>
                <w:id w:val="-543980900"/>
                <w:lock w:val="sdtLocked"/>
                <w:placeholder>
                  <w:docPart w:val="BDC0E268D7924BDFB5DAADDEF6B14F63"/>
                </w:placeholder>
                <w:tag w:val="PurchasePerformerPos"/>
                <w:rPr>
                  <w:rFonts w:eastAsia="Calibri"/>
                  <w:sz w:val="22"/>
                  <w:szCs w:val="22"/>
                  <w:highlight w:val="lightGray"/>
                </w:rPr>
              </w:sdtPr>
              <w:sdtContent>
                <w:r>
                  <w:rPr>
                    <w:rFonts w:eastAsia="Calibri"/>
                    <w:sz w:val="22"/>
                    <w:szCs w:val="22"/>
                  </w:rPr>
                  <w:t xml:space="preserve">Главный специалист отдела подготовки и проведения конкурсов</w:t>
                </w:r>
              </w:sdtContent>
            </w:sdt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br/>
            </w:r>
            <w:r>
              <w:rPr>
                <w:rFonts w:eastAsia="Calibri"/>
                <w:sz w:val="22"/>
                <w:szCs w:val="22"/>
              </w:rPr>
              <w:t xml:space="preserve">ПАО «</w:t>
            </w:r>
            <w:r>
              <w:rPr>
                <w:sz w:val="22"/>
                <w:szCs w:val="22"/>
              </w:rPr>
              <w:t xml:space="preserve">Россети </w:t>
            </w:r>
            <w:r>
              <w:rPr>
                <w:sz w:val="22"/>
                <w:szCs w:val="22"/>
              </w:rPr>
              <w:t xml:space="preserve">Ленэнерго</w:t>
            </w:r>
            <w:r>
              <w:rPr>
                <w:rFonts w:eastAsia="Calibri"/>
                <w:sz w:val="22"/>
                <w:szCs w:val="22"/>
              </w:rPr>
              <w:t xml:space="preserve">»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sdt>
              <w:sdtPr>
                <w:alias w:val="PurchasePerformerFIO"/>
                <w15:appearance w15:val="boundingBox"/>
                <w:id w:val="390921504"/>
                <w:lock w:val="sdtLocked"/>
                <w:placeholder>
                  <w:docPart w:val="BDC0E268D7924BDFB5DAADDEF6B14F63"/>
                </w:placeholder>
                <w:tag w:val="PurchasePerformerFIO"/>
                <w:rPr>
                  <w:rFonts w:eastAsia="Calibri"/>
                  <w:sz w:val="22"/>
                  <w:szCs w:val="22"/>
                  <w:highlight w:val="lightGray"/>
                </w:rPr>
              </w:sdtPr>
              <w:sdtContent>
                <w:r>
                  <w:rPr>
                    <w:rFonts w:eastAsia="Calibri"/>
                    <w:sz w:val="22"/>
                    <w:szCs w:val="22"/>
                  </w:rPr>
                  <w:t xml:space="preserve">Степанова Т.А.</w:t>
                </w:r>
              </w:sdtContent>
            </w:sdt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  <w:highlight w:val="none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</w:p>
        </w:tc>
      </w:tr>
    </w:tbl>
    <w:p>
      <w:pPr>
        <w:ind w:firstLine="0"/>
        <w:jc w:val="center"/>
        <w:spacing w:line="276" w:lineRule="auto"/>
        <w:rPr>
          <w:color w:val="ffffff" w:themeColor="background1"/>
          <w:sz w:val="22"/>
          <w:szCs w:val="22"/>
        </w:rPr>
      </w:pPr>
      <w:r>
        <w:rPr>
          <w:color w:val="ffffff" w:themeColor="background1"/>
          <w:sz w:val="22"/>
          <w:szCs w:val="22"/>
          <w:highlight w:val="none"/>
        </w:rPr>
      </w:r>
      <w:r>
        <w:rPr>
          <w:color w:val="ffffff" w:themeColor="background1"/>
          <w:sz w:val="22"/>
          <w:szCs w:val="22"/>
        </w:rPr>
      </w:r>
      <w:r>
        <w:rPr>
          <w:color w:val="ffffff" w:themeColor="background1"/>
          <w:sz w:val="22"/>
          <w:szCs w:val="22"/>
        </w:rPr>
      </w:r>
    </w:p>
    <w:p>
      <w:pPr>
        <w:ind w:firstLine="0"/>
        <w:jc w:val="center"/>
        <w:spacing w:line="276" w:lineRule="auto"/>
        <w:rPr>
          <w:color w:val="ffffff" w:themeColor="background1"/>
          <w:sz w:val="22"/>
          <w:szCs w:val="22"/>
          <w:highlight w:val="none"/>
        </w:rPr>
      </w:pPr>
      <w:r>
        <w:rPr>
          <w:sz w:val="22"/>
          <w:szCs w:val="22"/>
        </w:rPr>
        <w:t xml:space="preserve">г. Санкт-Петербург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sdt>
        <w:sdtPr>
          <w:alias w:val="lenPurchaseYear"/>
          <w15:appearance w15:val="boundingBox"/>
          <w:id w:val="1992137357"/>
          <w:lock w:val="sdtLocked"/>
          <w:placeholder>
            <w:docPart w:val="DefaultPlaceholder_-1854013440"/>
          </w:placeholder>
          <w:tag w:val="lenPurchaseYear"/>
          <w:rPr>
            <w:color w:val="ffffff" w:themeColor="background1"/>
            <w:sz w:val="22"/>
            <w:szCs w:val="22"/>
          </w:rPr>
        </w:sdtPr>
        <w:sdtContent>
          <w:r>
            <w:rPr>
              <w:color w:val="ffffff" w:themeColor="background1"/>
              <w:sz w:val="22"/>
              <w:szCs w:val="22"/>
            </w:rPr>
            <w:t xml:space="preserve">2023</w:t>
          </w:r>
        </w:sdtContent>
      </w:sdt>
      <w:r>
        <w:rPr>
          <w:color w:val="ffffff" w:themeColor="background1"/>
          <w:sz w:val="22"/>
          <w:szCs w:val="22"/>
        </w:rPr>
        <w:t xml:space="preserve"> г.</w:t>
      </w:r>
      <w:r>
        <w:rPr>
          <w:color w:val="ffffff" w:themeColor="background1"/>
          <w:sz w:val="22"/>
          <w:szCs w:val="22"/>
          <w:highlight w:val="none"/>
        </w:rPr>
      </w:r>
      <w:r>
        <w:rPr>
          <w:color w:val="ffffff" w:themeColor="background1"/>
          <w:sz w:val="22"/>
          <w:szCs w:val="22"/>
          <w:highlight w:val="none"/>
        </w:rPr>
      </w:r>
    </w:p>
    <w:p>
      <w:pPr>
        <w:ind w:firstLine="0"/>
        <w:jc w:val="left"/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Приглашение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bookmarkEnd w:id="3"/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spacing w:line="240" w:lineRule="auto"/>
        <w:rPr>
          <w:rFonts w:ascii="Verdana" w:hAnsi="Verdana"/>
          <w:color w:val="444444"/>
          <w:sz w:val="24"/>
          <w:szCs w:val="24"/>
        </w:rPr>
      </w:pPr>
      <w:r>
        <w:rPr>
          <w:sz w:val="24"/>
          <w:szCs w:val="24"/>
        </w:rPr>
        <w:t xml:space="preserve">В целях удовлетворения нужд Заказчика ПАО «</w:t>
      </w:r>
      <w:r>
        <w:rPr>
          <w:sz w:val="24"/>
          <w:szCs w:val="24"/>
        </w:rPr>
        <w:t xml:space="preserve">Россети Ленэнерго</w:t>
      </w:r>
      <w:r>
        <w:rPr>
          <w:sz w:val="24"/>
          <w:szCs w:val="24"/>
        </w:rPr>
        <w:t xml:space="preserve">» (адрес: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197349, г. Санкт-Петербург, вн. тер. г. Муниципальный округ озеро Долгое, ул. Гаккелевская,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д. 21, лит. А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Организатор закупки (структурное подразделение Заказчика) приглашает Участников, признанных Победителями </w:t>
      </w:r>
      <w:sdt>
        <w:sdtPr>
          <w:alias w:val="Condition"/>
          <w15:appearance w15:val="boundingBox"/>
          <w:id w:val="1496300658"/>
          <w:lock w:val="sdtLocked"/>
          <w:placeholder>
            <w:docPart w:val="DefaultPlaceholder_-1854013440"/>
          </w:placeholder>
          <w:tag w:val="Condition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конкурентного </w:t>
          </w:r>
          <w:r>
            <w:rPr>
              <w:sz w:val="24"/>
              <w:szCs w:val="24"/>
            </w:rPr>
            <w:t xml:space="preserve">предварительного</w:t>
          </w:r>
        </w:sdtContent>
      </w:sdt>
      <w:r>
        <w:rPr>
          <w:sz w:val="24"/>
          <w:szCs w:val="24"/>
        </w:rPr>
        <w:t xml:space="preserve"> отбора на основании Протокола Закупочной комиссии ПАО «</w:t>
      </w:r>
      <w:r>
        <w:rPr>
          <w:sz w:val="24"/>
          <w:szCs w:val="24"/>
        </w:rPr>
        <w:t xml:space="preserve">Россети Ленэнерго</w:t>
      </w:r>
      <w:r>
        <w:rPr>
          <w:sz w:val="24"/>
          <w:szCs w:val="24"/>
        </w:rPr>
        <w:t xml:space="preserve">» от </w:t>
      </w:r>
      <w:sdt>
        <w:sdtPr>
          <w:alias w:val="FinalReportDate"/>
          <w15:appearance w15:val="boundingBox"/>
          <w:id w:val="732885292"/>
          <w:lock w:val="sdtLocked"/>
          <w:placeholder>
            <w:docPart w:val="DefaultPlaceholder_-1854013440"/>
          </w:placeholder>
          <w:tag w:val="FinalReportDate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«</w:t>
          </w:r>
          <w:r>
            <w:rPr>
              <w:sz w:val="24"/>
              <w:szCs w:val="24"/>
            </w:rPr>
            <w:t xml:space="preserve">14</w:t>
          </w:r>
          <w:r>
            <w:rPr>
              <w:sz w:val="24"/>
              <w:szCs w:val="24"/>
            </w:rPr>
            <w:t xml:space="preserve">» октября</w:t>
          </w:r>
          <w:r>
            <w:rPr>
              <w:sz w:val="24"/>
              <w:szCs w:val="24"/>
            </w:rPr>
            <w:t xml:space="preserve"> 202</w:t>
          </w:r>
          <w:r>
            <w:rPr>
              <w:sz w:val="24"/>
              <w:szCs w:val="24"/>
            </w:rPr>
            <w:t xml:space="preserve">5 г.</w:t>
          </w:r>
        </w:sdtContent>
      </w:sdt>
      <w:r>
        <w:rPr>
          <w:sz w:val="24"/>
          <w:szCs w:val="24"/>
        </w:rPr>
        <w:t xml:space="preserve"> и заключивших соответствующие Рамочные соглашения (далее – участники закупки) к участию в настоящей закупочной процедуре, проводимой в электронной форме способом «запрос цен по результатам </w:t>
      </w:r>
      <w:sdt>
        <w:sdtPr>
          <w:alias w:val="Condition"/>
          <w15:appearance w15:val="boundingBox"/>
          <w:id w:val="-432361247"/>
          <w:placeholder>
            <w:docPart w:val="411E684D148E40E5958AB812891B7F2D"/>
          </w:placeholder>
          <w:tag w:val="Condition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конкурентного </w:t>
          </w:r>
          <w:r>
            <w:rPr>
              <w:sz w:val="24"/>
              <w:szCs w:val="24"/>
            </w:rPr>
            <w:t xml:space="preserve">предварительного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отбора» (далее по тексту – «запрос цен») на право заключения договор</w:t>
      </w:r>
      <w:r>
        <w:rPr>
          <w:sz w:val="24"/>
          <w:szCs w:val="24"/>
        </w:rPr>
        <w:t xml:space="preserve">а по лоту: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Модернизация системы автоматического пожаротушения в помещениях серверных, архива в административном здании, расположенном по адресу: Гаккелевская ул., д.21, лит.А» (ПИР, СМР, ПНР, ПО)</w:t>
      </w:r>
      <w:r>
        <w:rPr>
          <w:b/>
          <w:bCs/>
          <w:sz w:val="24"/>
          <w:szCs w:val="24"/>
        </w:rPr>
        <w:t xml:space="preserve"> (251800/1/2)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 xml:space="preserve">техническим заданием</w:t>
      </w:r>
      <w:r>
        <w:rPr>
          <w:sz w:val="24"/>
          <w:szCs w:val="24"/>
        </w:rPr>
        <w:t xml:space="preserve"> (Приложение №1 к настоящему Извещению).</w:t>
      </w:r>
      <w:r>
        <w:rPr>
          <w:rFonts w:ascii="Verdana" w:hAnsi="Verdana"/>
          <w:color w:val="444444"/>
          <w:sz w:val="24"/>
          <w:szCs w:val="24"/>
        </w:rPr>
      </w:r>
      <w:r>
        <w:rPr>
          <w:rFonts w:ascii="Verdana" w:hAnsi="Verdana"/>
          <w:color w:val="444444"/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firstLine="851"/>
        <w:spacing w:line="240" w:lineRule="auto"/>
        <w:widowControl w:val="off"/>
        <w:tabs>
          <w:tab w:val="num" w:pos="993" w:leader="none"/>
          <w:tab w:val="clear" w:pos="1135" w:leader="none"/>
        </w:tabs>
        <w:rPr>
          <w:sz w:val="24"/>
          <w:szCs w:val="24"/>
        </w:rPr>
      </w:pPr>
      <w:r/>
      <w:bookmarkStart w:id="4" w:name="_Ref119427085"/>
      <w:r>
        <w:rPr>
          <w:sz w:val="24"/>
          <w:szCs w:val="24"/>
        </w:rPr>
        <w:t xml:space="preserve">Настоящее Извещение</w:t>
      </w:r>
      <w:r>
        <w:rPr>
          <w:sz w:val="24"/>
          <w:szCs w:val="24"/>
        </w:rPr>
        <w:t xml:space="preserve"> подготовлен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в соответствии с нормами Федерального закона от 18.07.2011 г. № 223-ФЗ «О закупках товаров, работ услуг отдельными видами юридических лиц» и</w:t>
      </w:r>
      <w:r>
        <w:rPr>
          <w:sz w:val="24"/>
          <w:szCs w:val="24"/>
        </w:rPr>
        <w:t xml:space="preserve"> положениями Единого стандарта закупок ПАО «Россети» (далее – Стандарт, Положение о закупке),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  <w:t xml:space="preserve">решение о присоединении к которому принято Советом директоров                     ПАО «Россети Ленэнерго» 01.02.2023 (протокол от 02.02.2023 №44,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в редакции протокола от 27.12.2024 №3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  <w:t xml:space="preserve">)</w:t>
      </w:r>
      <w:r/>
      <w:r>
        <w:rPr>
          <w:sz w:val="24"/>
          <w:szCs w:val="24"/>
        </w:rPr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firstLine="851"/>
        <w:spacing w:after="60" w:line="240" w:lineRule="auto"/>
        <w:widowControl w:val="off"/>
        <w:tabs>
          <w:tab w:val="num" w:pos="993" w:leader="none"/>
          <w:tab w:val="clear" w:pos="1135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В настояще</w:t>
      </w:r>
      <w:r>
        <w:rPr>
          <w:b w:val="0"/>
          <w:bCs w:val="0"/>
          <w:sz w:val="24"/>
          <w:szCs w:val="24"/>
        </w:rPr>
        <w:t xml:space="preserve">м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Извещении</w:t>
      </w:r>
      <w:r>
        <w:rPr>
          <w:b w:val="0"/>
          <w:bCs w:val="0"/>
          <w:sz w:val="24"/>
          <w:szCs w:val="24"/>
        </w:rPr>
        <w:t xml:space="preserve"> используются следующие термины и определения</w:t>
      </w:r>
      <w:r>
        <w:rPr>
          <w:b w:val="0"/>
          <w:bCs w:val="0"/>
          <w:sz w:val="24"/>
          <w:szCs w:val="24"/>
        </w:rPr>
        <w:t xml:space="preserve">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spacing w:line="240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Заказчик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ПАО «Россети Ленэнерго»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юридическое лицо, в интересах и за счет средств которого осуществляются </w:t>
      </w:r>
      <w:r>
        <w:rPr>
          <w:bCs/>
          <w:sz w:val="24"/>
          <w:szCs w:val="24"/>
        </w:rPr>
        <w:t xml:space="preserve">закупки;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Организатор закупки – </w:t>
      </w:r>
      <w:r>
        <w:rPr>
          <w:sz w:val="24"/>
          <w:szCs w:val="24"/>
        </w:rPr>
        <w:t xml:space="preserve">структурное подразделение Заказчика;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/>
      <w:bookmarkStart w:id="5" w:name="_Ref307559672"/>
      <w:r>
        <w:rPr>
          <w:b/>
          <w:bCs/>
          <w:sz w:val="24"/>
          <w:szCs w:val="24"/>
        </w:rPr>
        <w:t xml:space="preserve">Единая информационная система в сфере закупок, ЕИС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совокупность информации, предусмотренной законодательством в сфере закупок и содержащейся в б</w:t>
      </w:r>
      <w:r>
        <w:rPr>
          <w:sz w:val="24"/>
          <w:szCs w:val="24"/>
        </w:rPr>
        <w:t xml:space="preserve">азе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 единой информационной системы в сети «Интернет» с доменным именем </w:t>
      </w:r>
      <w:hyperlink r:id="rId20" w:tooltip="http://zakupki.gov.ru" w:history="1">
        <w:r>
          <w:rPr>
            <w:rStyle w:val="989"/>
            <w:sz w:val="24"/>
            <w:szCs w:val="24"/>
          </w:rPr>
          <w:t xml:space="preserve">http://zakupki.gov.ru</w:t>
        </w:r>
      </w:hyperlink>
      <w:r>
        <w:rPr>
          <w:sz w:val="24"/>
          <w:szCs w:val="24"/>
        </w:rPr>
        <w:t xml:space="preserve"> (далее – официальный сайт);</w:t>
      </w:r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Электронная площадка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комплекс информационных и технических решений, обеспечивающий взаимодействие </w:t>
      </w:r>
      <w:r>
        <w:rPr>
          <w:bCs/>
          <w:sz w:val="24"/>
          <w:szCs w:val="24"/>
        </w:rPr>
        <w:t xml:space="preserve">Организатора закупки</w:t>
      </w:r>
      <w:r>
        <w:rPr>
          <w:sz w:val="24"/>
          <w:szCs w:val="24"/>
        </w:rPr>
        <w:t xml:space="preserve"> с </w:t>
      </w:r>
      <w:r>
        <w:rPr>
          <w:bCs/>
          <w:sz w:val="24"/>
          <w:szCs w:val="24"/>
        </w:rPr>
        <w:t xml:space="preserve">участником закупки</w:t>
      </w:r>
      <w:r>
        <w:rPr>
          <w:sz w:val="24"/>
          <w:szCs w:val="24"/>
        </w:rPr>
        <w:t xml:space="preserve"> через электронные каналы связи при проведении закупок в электронной форме;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0"/>
        <w:numPr>
          <w:ilvl w:val="0"/>
          <w:numId w:val="0"/>
        </w:numPr>
        <w:spacing w:line="240" w:lineRule="auto"/>
        <w:tabs>
          <w:tab w:val="num" w:pos="1704" w:leader="none"/>
        </w:tabs>
        <w:rPr>
          <w:sz w:val="24"/>
          <w:szCs w:val="24"/>
        </w:rPr>
      </w:pPr>
      <w:r/>
      <w:bookmarkStart w:id="6" w:name="_Ref307559209"/>
      <w:r>
        <w:rPr>
          <w:b/>
          <w:bCs/>
          <w:sz w:val="24"/>
          <w:szCs w:val="24"/>
        </w:rPr>
        <w:t xml:space="preserve">Извещение о проведении закупки</w:t>
      </w:r>
      <w:r>
        <w:rPr>
          <w:b/>
          <w:sz w:val="24"/>
          <w:szCs w:val="24"/>
          <w:lang w:val="ru-RU"/>
        </w:rPr>
        <w:t xml:space="preserve"> – </w:t>
      </w:r>
      <w:r>
        <w:rPr>
          <w:bCs/>
          <w:sz w:val="24"/>
          <w:szCs w:val="24"/>
        </w:rPr>
        <w:t xml:space="preserve">документ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объявляющий о начале процедуры закупки,</w:t>
      </w:r>
      <w:r>
        <w:rPr>
          <w:sz w:val="24"/>
          <w:szCs w:val="24"/>
        </w:rPr>
        <w:t xml:space="preserve"> предназначенный для </w:t>
      </w:r>
      <w:r>
        <w:rPr>
          <w:bCs/>
          <w:sz w:val="24"/>
          <w:szCs w:val="24"/>
          <w:lang w:val="ru-RU"/>
        </w:rPr>
        <w:t xml:space="preserve">участников закупки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val="ru-RU"/>
        </w:rPr>
        <w:t xml:space="preserve">размещение</w:t>
      </w:r>
      <w:r>
        <w:rPr>
          <w:sz w:val="24"/>
          <w:szCs w:val="24"/>
        </w:rPr>
        <w:t xml:space="preserve"> или рассылка которого означает официальное объявление о начале </w:t>
      </w:r>
      <w:r>
        <w:rPr>
          <w:bCs/>
          <w:sz w:val="24"/>
          <w:szCs w:val="24"/>
        </w:rPr>
        <w:t xml:space="preserve">процедуры</w:t>
      </w:r>
      <w:r>
        <w:rPr>
          <w:sz w:val="24"/>
          <w:szCs w:val="24"/>
        </w:rPr>
        <w:t xml:space="preserve"> закупки</w:t>
      </w:r>
      <w:bookmarkEnd w:id="6"/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0"/>
        <w:numPr>
          <w:ilvl w:val="0"/>
          <w:numId w:val="0"/>
        </w:numPr>
        <w:spacing w:line="240" w:lineRule="auto"/>
        <w:tabs>
          <w:tab w:val="num" w:pos="1704" w:leader="none"/>
        </w:tabs>
        <w:rPr>
          <w:sz w:val="24"/>
          <w:szCs w:val="24"/>
          <w:lang w:val="ru-RU"/>
        </w:rPr>
      </w:pPr>
      <w:r/>
      <w:bookmarkStart w:id="7" w:name="_Ref75096851"/>
      <w:r>
        <w:rPr>
          <w:b/>
          <w:bCs/>
          <w:sz w:val="24"/>
          <w:szCs w:val="24"/>
        </w:rPr>
        <w:t xml:space="preserve">Заявка - </w:t>
      </w:r>
      <w:r>
        <w:rPr>
          <w:sz w:val="24"/>
          <w:szCs w:val="24"/>
        </w:rPr>
        <w:t xml:space="preserve">Комплект </w:t>
      </w:r>
      <w:r>
        <w:rPr>
          <w:bCs/>
          <w:sz w:val="24"/>
          <w:szCs w:val="24"/>
        </w:rPr>
        <w:t xml:space="preserve">документов</w:t>
      </w:r>
      <w:r>
        <w:rPr>
          <w:sz w:val="24"/>
          <w:szCs w:val="24"/>
        </w:rPr>
        <w:t xml:space="preserve">, содержащий предложение </w:t>
      </w:r>
      <w:r>
        <w:rPr>
          <w:bCs/>
          <w:sz w:val="24"/>
          <w:szCs w:val="24"/>
        </w:rPr>
        <w:t xml:space="preserve">участника закупки</w:t>
      </w:r>
      <w:r>
        <w:rPr>
          <w:sz w:val="24"/>
          <w:szCs w:val="24"/>
        </w:rPr>
        <w:t xml:space="preserve">, направленное </w:t>
      </w:r>
      <w:r>
        <w:rPr>
          <w:bCs/>
          <w:sz w:val="24"/>
          <w:szCs w:val="24"/>
        </w:rPr>
        <w:t xml:space="preserve">Организатору закупки</w:t>
      </w:r>
      <w:r>
        <w:rPr>
          <w:sz w:val="24"/>
          <w:szCs w:val="24"/>
        </w:rPr>
        <w:t xml:space="preserve"> с намерением принять участие в </w:t>
      </w:r>
      <w:r>
        <w:rPr>
          <w:sz w:val="24"/>
          <w:szCs w:val="24"/>
          <w:lang w:val="ru-RU"/>
        </w:rPr>
        <w:t xml:space="preserve">процедурах закупки</w:t>
      </w:r>
      <w:r>
        <w:rPr>
          <w:sz w:val="24"/>
          <w:szCs w:val="24"/>
        </w:rPr>
        <w:t xml:space="preserve"> и впоследствии заключить договор, на условиях, определенных Извещением о проведении закупки (проектом договора и условиями подаваемой заявки).</w:t>
      </w:r>
      <w:bookmarkEnd w:id="7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10"/>
        <w:numPr>
          <w:ilvl w:val="0"/>
          <w:numId w:val="0"/>
        </w:numPr>
        <w:spacing w:line="240" w:lineRule="auto"/>
        <w:tabs>
          <w:tab w:val="num" w:pos="1704" w:leader="none"/>
        </w:tabs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Заявка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ru-RU"/>
        </w:rPr>
        <w:t xml:space="preserve">у</w:t>
      </w:r>
      <w:r>
        <w:rPr>
          <w:color w:val="000000"/>
          <w:sz w:val="24"/>
          <w:szCs w:val="24"/>
        </w:rPr>
        <w:t xml:space="preserve">частника имеет правовой статус оферты и будет рассматриваться Заказчиком в соответствии с этим</w:t>
      </w:r>
      <w:r>
        <w:rPr>
          <w:color w:val="000000"/>
          <w:sz w:val="24"/>
          <w:szCs w:val="24"/>
          <w:lang w:val="ru-RU"/>
        </w:rPr>
        <w:t xml:space="preserve">.</w:t>
      </w:r>
      <w:r>
        <w:rPr>
          <w:color w:val="000000"/>
          <w:sz w:val="24"/>
          <w:szCs w:val="24"/>
          <w:lang w:val="ru-RU"/>
        </w:rPr>
      </w:r>
      <w:r>
        <w:rPr>
          <w:color w:val="000000"/>
          <w:sz w:val="24"/>
          <w:szCs w:val="24"/>
          <w:lang w:val="ru-RU"/>
        </w:rPr>
      </w:r>
    </w:p>
    <w:p>
      <w:pPr>
        <w:ind w:firstLine="0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Работы</w:t>
      </w:r>
      <w:r>
        <w:rPr>
          <w:b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 xml:space="preserve">закупаемые работы, являющие предметом Договора.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10"/>
        <w:numPr>
          <w:ilvl w:val="0"/>
          <w:numId w:val="0"/>
        </w:numPr>
        <w:spacing w:line="240" w:lineRule="auto"/>
        <w:tabs>
          <w:tab w:val="left" w:pos="426" w:leader="none"/>
          <w:tab w:val="num" w:pos="1704" w:leader="none"/>
        </w:tabs>
        <w:rPr>
          <w:bCs/>
          <w:iCs/>
          <w:sz w:val="24"/>
          <w:szCs w:val="24"/>
        </w:rPr>
      </w:pPr>
      <w:r/>
      <w:bookmarkStart w:id="8" w:name="_Ref340231310"/>
      <w:r>
        <w:rPr>
          <w:b/>
          <w:bCs/>
          <w:sz w:val="24"/>
          <w:szCs w:val="24"/>
        </w:rPr>
        <w:t xml:space="preserve">Электронный</w:t>
      </w:r>
      <w:r>
        <w:rPr>
          <w:b/>
          <w:bCs/>
          <w:iCs/>
          <w:sz w:val="24"/>
          <w:szCs w:val="24"/>
        </w:rPr>
        <w:t xml:space="preserve"> документ</w:t>
      </w:r>
      <w:r>
        <w:rPr>
          <w:b/>
          <w:sz w:val="24"/>
          <w:szCs w:val="24"/>
          <w:lang w:val="ru-RU"/>
        </w:rPr>
        <w:t xml:space="preserve"> – </w:t>
      </w:r>
      <w:r>
        <w:rPr>
          <w:sz w:val="24"/>
          <w:szCs w:val="24"/>
        </w:rPr>
        <w:t xml:space="preserve">документ, в котором представленн</w:t>
      </w:r>
      <w:r>
        <w:rPr>
          <w:sz w:val="24"/>
          <w:szCs w:val="24"/>
          <w:lang w:val="ru-RU"/>
        </w:rPr>
        <w:t xml:space="preserve">ая</w:t>
      </w:r>
      <w:r>
        <w:rPr>
          <w:sz w:val="24"/>
          <w:szCs w:val="24"/>
        </w:rPr>
        <w:t xml:space="preserve"> информация подписана </w:t>
      </w:r>
      <w:bookmarkEnd w:id="8"/>
      <w:r>
        <w:rPr>
          <w:sz w:val="24"/>
          <w:szCs w:val="24"/>
          <w:lang w:val="ru-RU"/>
        </w:rPr>
        <w:t xml:space="preserve">электронной подписью</w:t>
      </w:r>
      <w:r>
        <w:rPr>
          <w:sz w:val="24"/>
          <w:szCs w:val="24"/>
        </w:rPr>
        <w:t xml:space="preserve">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010"/>
        <w:numPr>
          <w:ilvl w:val="0"/>
          <w:numId w:val="0"/>
        </w:numPr>
        <w:spacing w:line="240" w:lineRule="auto"/>
        <w:tabs>
          <w:tab w:val="left" w:pos="426" w:leader="none"/>
          <w:tab w:val="num" w:pos="1704" w:leader="none"/>
        </w:tabs>
        <w:rPr>
          <w:bCs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Электронная</w:t>
      </w:r>
      <w:r>
        <w:rPr>
          <w:b/>
          <w:bCs/>
          <w:iCs/>
          <w:sz w:val="24"/>
          <w:szCs w:val="24"/>
        </w:rPr>
        <w:t xml:space="preserve"> подпись</w:t>
      </w:r>
      <w:r>
        <w:rPr>
          <w:b/>
          <w:sz w:val="24"/>
          <w:szCs w:val="24"/>
          <w:lang w:val="ru-RU"/>
        </w:rPr>
        <w:t xml:space="preserve"> – </w:t>
      </w:r>
      <w:r>
        <w:rPr>
          <w:bCs/>
          <w:iCs/>
          <w:sz w:val="24"/>
          <w:szCs w:val="24"/>
        </w:rPr>
        <w:t xml:space="preserve">информация в электронной форме, которая присоединена к другой информации в электронной форме (</w:t>
      </w:r>
      <w:r>
        <w:rPr>
          <w:sz w:val="24"/>
          <w:szCs w:val="24"/>
        </w:rPr>
        <w:t xml:space="preserve">подписываемой</w:t>
      </w:r>
      <w:r>
        <w:rPr>
          <w:bCs/>
          <w:iCs/>
          <w:sz w:val="24"/>
          <w:szCs w:val="24"/>
        </w:rPr>
        <w:t xml:space="preserve"> информации) или иным образом связана с такой информацией и которая используется для определения лица, подписывающего информацию</w:t>
      </w:r>
      <w:bookmarkStart w:id="9" w:name="_Ref340231494"/>
      <w:r>
        <w:rPr>
          <w:bCs/>
          <w:iCs/>
          <w:sz w:val="24"/>
          <w:szCs w:val="24"/>
        </w:rPr>
        <w:t xml:space="preserve">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010"/>
        <w:numPr>
          <w:ilvl w:val="0"/>
          <w:numId w:val="0"/>
        </w:numPr>
        <w:spacing w:line="240" w:lineRule="auto"/>
        <w:tabs>
          <w:tab w:val="left" w:pos="426" w:leader="none"/>
          <w:tab w:val="num" w:pos="1800" w:leader="none"/>
        </w:tabs>
        <w:rPr>
          <w:sz w:val="24"/>
          <w:szCs w:val="24"/>
        </w:rPr>
      </w:pPr>
      <w:r/>
      <w:bookmarkStart w:id="10" w:name="_Ref340219630"/>
      <w:r>
        <w:rPr>
          <w:b/>
          <w:bCs/>
          <w:sz w:val="24"/>
          <w:szCs w:val="24"/>
        </w:rPr>
        <w:t xml:space="preserve">Электронная</w:t>
      </w:r>
      <w:r>
        <w:rPr>
          <w:b/>
          <w:bCs/>
          <w:iCs/>
          <w:sz w:val="24"/>
          <w:szCs w:val="24"/>
        </w:rPr>
        <w:t xml:space="preserve"> форма </w:t>
      </w:r>
      <w:r>
        <w:rPr>
          <w:b/>
          <w:bCs/>
          <w:sz w:val="24"/>
          <w:szCs w:val="24"/>
        </w:rPr>
        <w:t xml:space="preserve">проведения</w:t>
      </w:r>
      <w:r>
        <w:rPr>
          <w:b/>
          <w:bCs/>
          <w:iCs/>
          <w:sz w:val="24"/>
          <w:szCs w:val="24"/>
        </w:rPr>
        <w:t xml:space="preserve"> закупки</w:t>
      </w:r>
      <w:r>
        <w:rPr>
          <w:b/>
          <w:sz w:val="24"/>
          <w:szCs w:val="24"/>
          <w:lang w:val="ru-RU"/>
        </w:rPr>
        <w:t xml:space="preserve"> – </w:t>
      </w:r>
      <w:r>
        <w:rPr>
          <w:sz w:val="24"/>
          <w:szCs w:val="24"/>
          <w:lang w:val="ru-RU"/>
        </w:rPr>
        <w:t xml:space="preserve">п</w:t>
      </w:r>
      <w:r>
        <w:rPr>
          <w:bCs/>
          <w:iCs/>
          <w:sz w:val="24"/>
          <w:szCs w:val="24"/>
        </w:rPr>
        <w:t xml:space="preserve">р</w:t>
      </w:r>
      <w:r>
        <w:rPr>
          <w:bCs/>
          <w:iCs/>
          <w:sz w:val="24"/>
          <w:szCs w:val="24"/>
          <w:lang w:val="ru-RU"/>
        </w:rPr>
        <w:t xml:space="preserve">оведение</w:t>
      </w:r>
      <w:r>
        <w:rPr>
          <w:bCs/>
          <w:iCs/>
          <w:sz w:val="24"/>
          <w:szCs w:val="24"/>
        </w:rPr>
        <w:t xml:space="preserve"> закупки с использованием функционала электронной торговой площадки и </w:t>
      </w:r>
      <w:r>
        <w:rPr>
          <w:sz w:val="24"/>
          <w:szCs w:val="24"/>
        </w:rPr>
        <w:t xml:space="preserve">обменом</w:t>
      </w:r>
      <w:r>
        <w:rPr>
          <w:bCs/>
          <w:iCs/>
          <w:sz w:val="24"/>
          <w:szCs w:val="24"/>
        </w:rPr>
        <w:t xml:space="preserve"> электронными документами.</w:t>
      </w:r>
      <w:bookmarkStart w:id="11" w:name="_Ref340231464"/>
      <w:r/>
      <w:bookmarkEnd w:id="1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0"/>
        <w:numPr>
          <w:ilvl w:val="0"/>
          <w:numId w:val="0"/>
        </w:numPr>
        <w:spacing w:line="240" w:lineRule="auto"/>
        <w:tabs>
          <w:tab w:val="num" w:pos="1704" w:leader="none"/>
        </w:tabs>
        <w:rPr>
          <w:sz w:val="24"/>
          <w:szCs w:val="24"/>
        </w:rPr>
      </w:pPr>
      <w:r/>
      <w:bookmarkStart w:id="12" w:name="OLE_LINK17"/>
      <w:r/>
      <w:bookmarkStart w:id="13" w:name="_Ref114042989"/>
      <w:r/>
      <w:bookmarkEnd w:id="9"/>
      <w:r/>
      <w:bookmarkEnd w:id="11"/>
      <w:r>
        <w:rPr>
          <w:b/>
          <w:bCs/>
          <w:sz w:val="24"/>
          <w:szCs w:val="24"/>
        </w:rPr>
        <w:t xml:space="preserve">Начальная (максимальная) цена</w:t>
      </w:r>
      <w:bookmarkEnd w:id="12"/>
      <w:r>
        <w:rPr>
          <w:b/>
          <w:bCs/>
          <w:sz w:val="24"/>
          <w:szCs w:val="24"/>
        </w:rPr>
        <w:t xml:space="preserve"> договора (цена </w:t>
      </w:r>
      <w:r>
        <w:rPr>
          <w:b/>
          <w:bCs/>
          <w:sz w:val="24"/>
          <w:szCs w:val="24"/>
          <w:lang w:val="ru-RU"/>
        </w:rPr>
        <w:t xml:space="preserve">закупки</w:t>
      </w:r>
      <w:r>
        <w:rPr>
          <w:b/>
          <w:bCs/>
          <w:sz w:val="24"/>
          <w:szCs w:val="24"/>
        </w:rPr>
        <w:t xml:space="preserve">)</w:t>
      </w:r>
      <w:r>
        <w:rPr>
          <w:b/>
          <w:sz w:val="24"/>
          <w:szCs w:val="24"/>
          <w:lang w:val="ru-RU"/>
        </w:rPr>
        <w:t xml:space="preserve"> – </w:t>
      </w:r>
      <w:r>
        <w:rPr>
          <w:sz w:val="24"/>
          <w:szCs w:val="24"/>
        </w:rPr>
        <w:t xml:space="preserve">максимально допустимая стоимость закупки, превышение которой является основанием для отклонения </w:t>
      </w:r>
      <w:r>
        <w:rPr>
          <w:b/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в соответствии с условиями </w:t>
      </w:r>
      <w:r>
        <w:rPr>
          <w:sz w:val="24"/>
          <w:szCs w:val="24"/>
          <w:lang w:val="ru-RU"/>
        </w:rPr>
        <w:t xml:space="preserve">извещения</w:t>
      </w:r>
      <w:r>
        <w:rPr>
          <w:sz w:val="24"/>
          <w:szCs w:val="24"/>
        </w:rPr>
        <w:t xml:space="preserve"> о закупке.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0"/>
        <w:numPr>
          <w:ilvl w:val="0"/>
          <w:numId w:val="0"/>
        </w:numPr>
        <w:spacing w:line="240" w:lineRule="auto"/>
        <w:rPr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П</w:t>
      </w:r>
      <w:r>
        <w:rPr>
          <w:b/>
          <w:sz w:val="24"/>
          <w:szCs w:val="24"/>
        </w:rPr>
        <w:t xml:space="preserve">ереторжка</w:t>
      </w:r>
      <w:r>
        <w:rPr>
          <w:b/>
          <w:sz w:val="24"/>
          <w:szCs w:val="24"/>
          <w:lang w:val="ru-RU"/>
        </w:rPr>
        <w:t xml:space="preserve"> – </w:t>
      </w:r>
      <w:r>
        <w:rPr>
          <w:sz w:val="24"/>
          <w:szCs w:val="24"/>
        </w:rPr>
        <w:t xml:space="preserve">направлена на добровольное снижение цен предложений </w:t>
      </w:r>
      <w:r>
        <w:rPr>
          <w:bCs/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закупки, </w:t>
      </w:r>
      <w:r>
        <w:rPr>
          <w:sz w:val="24"/>
          <w:szCs w:val="24"/>
        </w:rPr>
        <w:t xml:space="preserve">с целью повысить их предпочтительность для </w:t>
      </w:r>
      <w:r>
        <w:rPr>
          <w:bCs/>
          <w:sz w:val="24"/>
          <w:szCs w:val="24"/>
        </w:rPr>
        <w:t xml:space="preserve">Организатора закупки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firstLine="709"/>
        <w:jc w:val="left"/>
        <w:spacing w:line="240" w:lineRule="auto"/>
        <w:tabs>
          <w:tab w:val="num" w:pos="993" w:leader="none"/>
          <w:tab w:val="clear" w:pos="1135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sz w:val="24"/>
          <w:szCs w:val="24"/>
        </w:rPr>
        <w:t xml:space="preserve"> предоставления </w:t>
      </w:r>
      <w:r>
        <w:rPr>
          <w:b/>
          <w:sz w:val="24"/>
          <w:szCs w:val="24"/>
        </w:rPr>
        <w:t xml:space="preserve">извещения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 проведении </w:t>
      </w:r>
      <w:r>
        <w:rPr>
          <w:b/>
          <w:sz w:val="24"/>
          <w:szCs w:val="24"/>
        </w:rPr>
        <w:t xml:space="preserve">запроса цен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"/>
        </w:numPr>
        <w:ind w:left="0" w:firstLine="709"/>
        <w:spacing w:line="240" w:lineRule="auto"/>
        <w:rPr>
          <w:iCs/>
          <w:sz w:val="24"/>
          <w:szCs w:val="24"/>
        </w:rPr>
      </w:pPr>
      <w:r>
        <w:rPr>
          <w:sz w:val="24"/>
          <w:szCs w:val="24"/>
        </w:rPr>
        <w:t xml:space="preserve">Извещение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размещен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ЕИС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http://zakupki.gov.ru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на электронной торговой площадке </w:t>
      </w:r>
      <w:r>
        <w:rPr>
          <w:sz w:val="24"/>
          <w:szCs w:val="24"/>
        </w:rPr>
        <w:t xml:space="preserve">в сети Интернет по адресу: </w:t>
      </w:r>
      <w:sdt>
        <w:sdtPr>
          <w:alias w:val="Site"/>
          <w15:appearance w15:val="boundingBox"/>
          <w:id w:val="416674221"/>
          <w:lock w:val="sdtLocked"/>
          <w:placeholder>
            <w:docPart w:val="DefaultPlaceholder_-1854013440"/>
          </w:placeholder>
          <w:tag w:val="Site"/>
          <w:rPr>
            <w:sz w:val="24"/>
            <w:szCs w:val="24"/>
          </w:rPr>
        </w:sdtPr>
        <w:sdtContent>
          <w:hyperlink r:id="rId21" w:tooltip="https://tender.lot-online.ru" w:history="1">
            <w:r>
              <w:rPr>
                <w:rStyle w:val="989"/>
                <w:sz w:val="24"/>
                <w:szCs w:val="24"/>
              </w:rPr>
              <w:t xml:space="preserve">https://tender.lot-online.ru</w:t>
            </w:r>
          </w:hyperlink>
        </w:sdtContent>
      </w:sdt>
      <w:r>
        <w:rPr>
          <w:sz w:val="24"/>
          <w:szCs w:val="24"/>
        </w:rPr>
        <w:t xml:space="preserve">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numPr>
          <w:ilvl w:val="1"/>
          <w:numId w:val="5"/>
        </w:numPr>
        <w:ind w:left="0" w:firstLine="709"/>
        <w:spacing w:line="240" w:lineRule="auto"/>
        <w:rPr>
          <w:iCs/>
          <w:sz w:val="24"/>
          <w:szCs w:val="24"/>
        </w:rPr>
      </w:pPr>
      <w:r>
        <w:rPr>
          <w:sz w:val="24"/>
          <w:szCs w:val="24"/>
        </w:rPr>
        <w:t xml:space="preserve">Извещение</w:t>
      </w:r>
      <w:r>
        <w:rPr>
          <w:sz w:val="24"/>
          <w:szCs w:val="24"/>
        </w:rPr>
        <w:t xml:space="preserve"> может быть получен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участником </w:t>
      </w:r>
      <w:r>
        <w:rPr>
          <w:sz w:val="24"/>
          <w:szCs w:val="24"/>
        </w:rPr>
        <w:t xml:space="preserve">на </w:t>
      </w:r>
      <w:r>
        <w:rPr>
          <w:iCs/>
          <w:sz w:val="24"/>
          <w:szCs w:val="24"/>
        </w:rPr>
        <w:t xml:space="preserve">сайте электронной торговой площадки </w:t>
      </w:r>
      <w:r>
        <w:rPr>
          <w:sz w:val="24"/>
          <w:szCs w:val="24"/>
        </w:rPr>
        <w:t xml:space="preserve">(</w:t>
      </w:r>
      <w:sdt>
        <w:sdtPr>
          <w:alias w:val="Site"/>
          <w15:appearance w15:val="boundingBox"/>
          <w:id w:val="-746497072"/>
          <w:placeholder>
            <w:docPart w:val="D6BA82AEF676416597E033A134F4AB11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), на </w:t>
      </w:r>
      <w:r>
        <w:rPr>
          <w:iCs/>
          <w:sz w:val="24"/>
          <w:szCs w:val="24"/>
        </w:rPr>
        <w:t xml:space="preserve">официальном сайте</w:t>
      </w: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ЕИС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rStyle w:val="989"/>
          <w:iCs/>
          <w:sz w:val="24"/>
          <w:szCs w:val="24"/>
        </w:rPr>
        <w:t xml:space="preserve">http://zakupki.gov.ru</w:t>
      </w:r>
      <w:r>
        <w:rPr>
          <w:iCs/>
          <w:sz w:val="24"/>
          <w:szCs w:val="24"/>
        </w:rPr>
        <w:t xml:space="preserve">)</w:t>
      </w:r>
      <w:r>
        <w:rPr>
          <w:iCs/>
          <w:sz w:val="24"/>
          <w:szCs w:val="24"/>
        </w:rPr>
        <w:t xml:space="preserve">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ind w:firstLine="709"/>
        <w:jc w:val="both"/>
        <w:spacing w:line="240" w:lineRule="auto"/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017"/>
        <w:numPr>
          <w:ilvl w:val="0"/>
          <w:numId w:val="5"/>
        </w:numPr>
        <w:ind w:firstLine="709"/>
        <w:spacing w:before="0" w:line="240" w:lineRule="auto"/>
        <w:tabs>
          <w:tab w:val="left" w:pos="540" w:leader="none"/>
          <w:tab w:val="num" w:pos="993" w:leader="none"/>
          <w:tab w:val="clear" w:pos="1135" w:leader="none"/>
        </w:tabs>
        <w:rPr>
          <w:iCs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</w:t>
      </w:r>
      <w:r>
        <w:rPr>
          <w:b/>
          <w:sz w:val="24"/>
          <w:szCs w:val="24"/>
        </w:rPr>
        <w:t xml:space="preserve">извещения</w:t>
      </w:r>
      <w:r>
        <w:rPr>
          <w:b/>
          <w:sz w:val="24"/>
          <w:szCs w:val="24"/>
        </w:rPr>
        <w:t xml:space="preserve"> о проведении </w:t>
      </w:r>
      <w:r>
        <w:rPr>
          <w:b/>
          <w:sz w:val="24"/>
          <w:szCs w:val="24"/>
        </w:rPr>
        <w:t xml:space="preserve">запроса цен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017"/>
        <w:numPr>
          <w:ilvl w:val="1"/>
          <w:numId w:val="5"/>
        </w:numPr>
        <w:ind w:left="0" w:firstLine="709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>
        <w:rPr>
          <w:sz w:val="24"/>
          <w:szCs w:val="24"/>
        </w:rPr>
        <w:t xml:space="preserve">цен </w:t>
      </w:r>
      <w:r>
        <w:rPr>
          <w:sz w:val="24"/>
          <w:szCs w:val="24"/>
        </w:rPr>
        <w:t xml:space="preserve">проводится в электронной форме на электронной торговой площадке </w:t>
      </w:r>
      <w:sdt>
        <w:sdtPr>
          <w:alias w:val="Site"/>
          <w15:appearance w15:val="boundingBox"/>
          <w:id w:val="1322006585"/>
          <w:placeholder>
            <w:docPart w:val="E991D248396B425F9A84766A6DB4D251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rStyle w:val="989"/>
          <w:iCs/>
          <w:sz w:val="24"/>
          <w:szCs w:val="24"/>
          <w:u w:val="none"/>
        </w:rPr>
        <w:t xml:space="preserve"> </w:t>
      </w:r>
      <w:r>
        <w:rPr>
          <w:sz w:val="24"/>
          <w:szCs w:val="24"/>
        </w:rPr>
        <w:t xml:space="preserve">в соответствии с Правилами и Регламентами, действующими в данной Системе. Участник запроса </w:t>
      </w:r>
      <w:r>
        <w:rPr>
          <w:sz w:val="24"/>
          <w:szCs w:val="24"/>
        </w:rPr>
        <w:t xml:space="preserve">цен </w:t>
      </w:r>
      <w:r>
        <w:rPr>
          <w:sz w:val="24"/>
          <w:szCs w:val="24"/>
        </w:rPr>
        <w:t xml:space="preserve">должен быть Пользователем, зарегистрированным в Системе в качестве юридического лица или предпринимателя без образования юридического лица в установленном порядке и обладающим правами участника Системы.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5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Извещение</w:t>
      </w:r>
      <w:r>
        <w:rPr>
          <w:sz w:val="24"/>
          <w:szCs w:val="24"/>
        </w:rPr>
        <w:t xml:space="preserve"> предоставляется через конкурсную (закупочную) доску официального сайта </w:t>
      </w:r>
      <w:sdt>
        <w:sdtPr>
          <w:alias w:val="Site"/>
          <w15:appearance w15:val="boundingBox"/>
          <w:id w:val="2123022198"/>
          <w:placeholder>
            <w:docPart w:val="FECC7AEED5F04ACDAD24C0BB036032A7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участникам, заявившим о своем желании принять участие в запросе</w:t>
      </w:r>
      <w:r>
        <w:rPr>
          <w:sz w:val="24"/>
          <w:szCs w:val="24"/>
        </w:rPr>
        <w:t xml:space="preserve"> цен</w:t>
      </w:r>
      <w:r>
        <w:rPr>
          <w:sz w:val="24"/>
          <w:szCs w:val="24"/>
        </w:rPr>
        <w:t xml:space="preserve">.</w:t>
      </w:r>
      <w:r>
        <w:rPr>
          <w:color w:val="0000ff"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Извещение</w:t>
      </w:r>
      <w:r>
        <w:rPr>
          <w:iCs/>
          <w:sz w:val="24"/>
          <w:szCs w:val="24"/>
        </w:rPr>
        <w:t xml:space="preserve"> предоставляется в форме электронного документа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5"/>
        </w:numPr>
        <w:ind w:firstLine="709"/>
        <w:spacing w:before="0" w:line="240" w:lineRule="auto"/>
        <w:tabs>
          <w:tab w:val="left" w:pos="540" w:leader="none"/>
          <w:tab w:val="num" w:pos="993" w:leader="none"/>
          <w:tab w:val="clear" w:pos="1135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Обжалование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numPr>
          <w:ilvl w:val="1"/>
          <w:numId w:val="5"/>
        </w:numPr>
        <w:ind w:left="0" w:firstLine="709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споры и разногласия, возникающие в связи с проведением запроса</w:t>
      </w:r>
      <w:r>
        <w:rPr>
          <w:sz w:val="24"/>
          <w:szCs w:val="24"/>
        </w:rPr>
        <w:t xml:space="preserve"> цен</w:t>
      </w:r>
      <w:r>
        <w:rPr>
          <w:sz w:val="24"/>
          <w:szCs w:val="24"/>
        </w:rPr>
        <w:t xml:space="preserve">, в том числе касающиеся исполнения Организатором и Участниками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своих обязательств в связи с проведением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стороне, при этом уполномоченным представителем ПАО «</w:t>
      </w:r>
      <w:r>
        <w:rPr>
          <w:sz w:val="24"/>
          <w:szCs w:val="24"/>
        </w:rPr>
        <w:t xml:space="preserve">Россети Ленэнерго</w:t>
      </w:r>
      <w:r>
        <w:rPr>
          <w:sz w:val="24"/>
          <w:szCs w:val="24"/>
        </w:rPr>
        <w:t xml:space="preserve">» в рамках данного пункта выступает Закупочная комиссия. Сторона, получившая претензию, должна направить другой стороне мотивированный ответ на претензию в течение </w:t>
      </w:r>
      <w:r>
        <w:rPr>
          <w:rStyle w:val="1014"/>
          <w:sz w:val="24"/>
          <w:szCs w:val="24"/>
        </w:rPr>
        <w:t xml:space="preserve">20 рабочих дней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с момента ее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/>
      <w:bookmarkStart w:id="14" w:name="_Ref306190125"/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.2. Если претензионный порядок, указанный в п.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.1. не привел к разрешению разногласий, Участники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имеют право оспорить решение или поведение Организатора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в связи с данным </w:t>
      </w:r>
      <w:r>
        <w:rPr>
          <w:sz w:val="24"/>
          <w:szCs w:val="24"/>
        </w:rPr>
        <w:t xml:space="preserve">запросом цен</w:t>
      </w:r>
      <w:r>
        <w:rPr>
          <w:sz w:val="24"/>
          <w:szCs w:val="24"/>
        </w:rPr>
        <w:t xml:space="preserve"> обратившись в ЦЗО Общества.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.3. Споры между Участниками и Организаторами закупок, проведенных на ЭТП, также могут рассматриваться в порядке, предусмотренном на этих ЭТП, если законодательством Российской Федерации не предусмотрено иное.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.4.</w:t>
      </w:r>
      <w:r>
        <w:rPr>
          <w:sz w:val="24"/>
          <w:szCs w:val="24"/>
        </w:rPr>
        <w:t xml:space="preserve"> Участник вправе обжаловать в антимонопольный орган действия (бездействия) Заказчика при закупке товаров, работ, услуг в случаях, предусмотренных Федеральным законом от 18.07.2011 № 223 «О закупках товаров, работ, услуг отдельными видами юридических лиц».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.5.  Вышеизложенное не ограничивает права сторон на обращение в суд в соответствии с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3"/>
        <w:numPr>
          <w:ilvl w:val="0"/>
          <w:numId w:val="0"/>
        </w:numPr>
        <w:ind w:firstLine="709"/>
        <w:spacing w:before="0" w:after="0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5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Срок предоставления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извещения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о проведении 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запроса цен</w:t>
      </w:r>
      <w:r>
        <w:rPr>
          <w:rFonts w:ascii="Times New Roman" w:hAnsi="Times New Roman"/>
          <w:i w:val="0"/>
          <w:sz w:val="24"/>
          <w:szCs w:val="24"/>
          <w:lang w:val="ru-RU"/>
        </w:rPr>
      </w:r>
      <w:r>
        <w:rPr>
          <w:rFonts w:ascii="Times New Roman" w:hAnsi="Times New Roman"/>
          <w:i w:val="0"/>
          <w:sz w:val="24"/>
          <w:szCs w:val="24"/>
          <w:lang w:val="ru-RU"/>
        </w:rPr>
      </w:r>
    </w:p>
    <w:p>
      <w:pPr>
        <w:ind w:firstLine="284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Начало:</w:t>
      </w:r>
      <w:r>
        <w:rPr>
          <w:sz w:val="24"/>
          <w:szCs w:val="24"/>
        </w:rPr>
        <w:t xml:space="preserve"> с момента публикации </w:t>
      </w:r>
      <w:r>
        <w:rPr>
          <w:sz w:val="24"/>
          <w:szCs w:val="24"/>
        </w:rPr>
        <w:t xml:space="preserve">извещения о проведении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284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Окончание: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 </w:t>
      </w:r>
      <w:r>
        <w:rPr>
          <w:sz w:val="24"/>
          <w:szCs w:val="24"/>
        </w:rPr>
        <w:t xml:space="preserve">момент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вскрытия </w:t>
      </w:r>
      <w:r>
        <w:rPr>
          <w:sz w:val="24"/>
          <w:szCs w:val="24"/>
        </w:rPr>
        <w:t xml:space="preserve">заявок</w:t>
      </w:r>
      <w:r>
        <w:rPr>
          <w:sz w:val="24"/>
          <w:szCs w:val="24"/>
        </w:rPr>
        <w:t xml:space="preserve"> участников</w:t>
      </w:r>
      <w:r>
        <w:rPr>
          <w:sz w:val="24"/>
          <w:szCs w:val="24"/>
        </w:rPr>
        <w:t xml:space="preserve">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ind w:firstLine="709"/>
        <w:jc w:val="left"/>
        <w:spacing w:before="0" w:line="240" w:lineRule="auto"/>
        <w:widowControl w:val="off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br w:type="column"/>
        <w:t xml:space="preserve">6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Предмет договор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ов</w:t>
      </w:r>
      <w:r>
        <w:rPr>
          <w:b/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, сроки </w:t>
      </w:r>
      <w:r>
        <w:rPr>
          <w:b/>
          <w:sz w:val="24"/>
          <w:szCs w:val="24"/>
        </w:rPr>
        <w:t xml:space="preserve">выполнения работ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1017"/>
        <w:ind w:firstLine="709"/>
        <w:jc w:val="left"/>
        <w:spacing w:before="0" w:line="240" w:lineRule="auto"/>
        <w:widowControl w:val="off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0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763"/>
        <w:gridCol w:w="1701"/>
      </w:tblGrid>
      <w:tr>
        <w:tblPrEx/>
        <w:trPr>
          <w:trHeight w:val="112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99"/>
              <w:ind w:left="-142" w:right="-135" w:firstLine="105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лота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763" w:type="dxa"/>
            <w:vAlign w:val="center"/>
            <w:textDirection w:val="lrTb"/>
            <w:noWrap w:val="false"/>
          </w:tcPr>
          <w:p>
            <w:pPr>
              <w:pStyle w:val="999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 </w:t>
            </w:r>
            <w:r>
              <w:rPr>
                <w:sz w:val="24"/>
                <w:szCs w:val="24"/>
              </w:rPr>
              <w:t xml:space="preserve">запроса цен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99"/>
              <w:ind w:left="136" w:right="0" w:hanging="1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 xml:space="preserve">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5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63" w:type="dxa"/>
            <w:vAlign w:val="center"/>
            <w:textDirection w:val="lrTb"/>
            <w:noWrap w:val="false"/>
          </w:tcPr>
          <w:p>
            <w:pPr>
              <w:pStyle w:val="999"/>
              <w:ind w:left="28" w:right="-36"/>
              <w:jc w:val="both"/>
              <w:spacing w:before="0" w:after="0"/>
              <w:rPr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Модернизация системы автоматического пожаротушения в помещениях серверных, архива в административном здании, расположенном по адресу: Гаккелевская ул., д.21, лит.А (ПИР, СМР, ПНР, ПО)</w:t>
            </w:r>
            <w:r>
              <w:rPr>
                <w:b w:val="0"/>
                <w:bCs w:val="0"/>
                <w:sz w:val="24"/>
                <w:szCs w:val="24"/>
              </w:rPr>
              <w:t xml:space="preserve"> (251800/1/2)</w:t>
            </w:r>
            <w:r>
              <w:rPr>
                <w:b w:val="0"/>
                <w:bCs w:val="0"/>
                <w:sz w:val="24"/>
                <w:szCs w:val="24"/>
                <w14:ligatures w14:val="none"/>
              </w:rPr>
            </w:r>
            <w:r>
              <w:rPr>
                <w:b w:val="0"/>
                <w:bCs w:val="0"/>
                <w:sz w:val="24"/>
                <w:szCs w:val="24"/>
                <w14:ligatures w14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3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24.06.2026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31.12.2026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</w:tbl>
    <w:p>
      <w:pPr>
        <w:ind w:left="567"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Место </w:t>
      </w:r>
      <w:r>
        <w:rPr>
          <w:b/>
          <w:sz w:val="24"/>
          <w:szCs w:val="24"/>
        </w:rPr>
        <w:t xml:space="preserve">выполнения работ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Санкт-Петербург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Более подробно информация</w:t>
      </w:r>
      <w:r>
        <w:rPr>
          <w:sz w:val="24"/>
          <w:szCs w:val="24"/>
        </w:rPr>
        <w:t xml:space="preserve"> о месте выполнения работ указана в </w:t>
      </w:r>
      <w:r>
        <w:rPr>
          <w:sz w:val="24"/>
          <w:szCs w:val="24"/>
        </w:rPr>
        <w:t xml:space="preserve">Техническом задании</w:t>
      </w:r>
      <w:r>
        <w:rPr>
          <w:sz w:val="24"/>
          <w:szCs w:val="24"/>
        </w:rPr>
        <w:t xml:space="preserve"> (Приложение №1).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ind w:firstLine="709"/>
        <w:spacing w:before="0"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8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Характеристики, объем </w:t>
      </w:r>
      <w:r>
        <w:rPr>
          <w:b/>
          <w:sz w:val="24"/>
          <w:szCs w:val="24"/>
        </w:rPr>
        <w:t xml:space="preserve">выполнения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spacing w:before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соответстви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техническим заданием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Приложение №1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пр</w:t>
      </w:r>
      <w:r>
        <w:rPr>
          <w:sz w:val="24"/>
          <w:szCs w:val="24"/>
        </w:rPr>
        <w:t xml:space="preserve">оектом Д</w:t>
      </w:r>
      <w:r>
        <w:rPr>
          <w:sz w:val="24"/>
          <w:szCs w:val="24"/>
        </w:rPr>
        <w:t xml:space="preserve">оговора (Приложение №2)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Извещения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bCs/>
          <w:i/>
          <w:color w:val="ff0000"/>
          <w:sz w:val="24"/>
          <w:szCs w:val="24"/>
        </w:rPr>
      </w:pPr>
      <w:r>
        <w:rPr>
          <w:b/>
          <w:bCs/>
          <w:i/>
          <w:color w:val="ff0000"/>
          <w:sz w:val="24"/>
          <w:szCs w:val="24"/>
        </w:rPr>
      </w:r>
      <w:r>
        <w:rPr>
          <w:b/>
          <w:bCs/>
          <w:i/>
          <w:color w:val="ff0000"/>
          <w:sz w:val="24"/>
          <w:szCs w:val="24"/>
        </w:rPr>
      </w:r>
      <w:r>
        <w:rPr>
          <w:b/>
          <w:bCs/>
          <w:i/>
          <w:color w:val="ff0000"/>
          <w:sz w:val="24"/>
          <w:szCs w:val="24"/>
        </w:rPr>
      </w:r>
    </w:p>
    <w:p>
      <w:pPr>
        <w:ind w:firstLine="709"/>
        <w:jc w:val="left"/>
        <w:spacing w:before="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Сведения о начальной </w:t>
      </w:r>
      <w:r>
        <w:rPr>
          <w:b/>
          <w:sz w:val="24"/>
          <w:szCs w:val="24"/>
        </w:rPr>
        <w:t xml:space="preserve">(максимальной) цене договора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ов</w:t>
      </w:r>
      <w:r>
        <w:rPr>
          <w:b/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(цене </w:t>
      </w:r>
      <w:r>
        <w:rPr>
          <w:b/>
          <w:sz w:val="24"/>
          <w:szCs w:val="24"/>
        </w:rPr>
        <w:t xml:space="preserve">закупки</w:t>
      </w:r>
      <w:r>
        <w:rPr>
          <w:b/>
          <w:sz w:val="24"/>
          <w:szCs w:val="24"/>
        </w:rPr>
        <w:t xml:space="preserve">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5670"/>
      </w:tblGrid>
      <w:tr>
        <w:tblPrEx/>
        <w:trPr>
          <w:trHeight w:val="762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999"/>
              <w:ind w:left="0" w:right="0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лота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999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Н(М)Ц,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9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руб. </w:t>
            </w:r>
            <w:r>
              <w:rPr>
                <w:sz w:val="24"/>
                <w:szCs w:val="24"/>
                <w:lang w:val="en-US"/>
              </w:rPr>
              <w:t xml:space="preserve">c</w:t>
            </w:r>
            <w:r>
              <w:rPr>
                <w:sz w:val="24"/>
                <w:szCs w:val="24"/>
              </w:rPr>
              <w:t xml:space="preserve"> НДС</w:t>
            </w:r>
            <w:r>
              <w:rPr>
                <w:sz w:val="24"/>
                <w:szCs w:val="24"/>
              </w:rPr>
              <w:t xml:space="preserve">/без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pStyle w:val="999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573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999"/>
              <w:ind w:left="28" w:right="-36"/>
              <w:jc w:val="center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53 062 156,00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99"/>
              <w:ind w:left="28" w:right="-36"/>
              <w:jc w:val="center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83"/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43 493 570,49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983"/>
              <w:ind w:firstLine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налоги, пошлины и прочие сборы, которые исполнитель договора должен оплачивать в соответствии с условиями договора или на иных основаниях, должны быть включены в расценки и общую цену заявки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983"/>
        <w:ind w:firstLine="709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02"/>
        <w:ind w:left="0" w:firstLine="567"/>
        <w:jc w:val="both"/>
        <w:spacing w:before="0" w:after="0"/>
      </w:pPr>
      <w:r>
        <w:t xml:space="preserve">9.1. </w:t>
      </w:r>
      <w:r>
        <w:t xml:space="preserve"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НДС.</w:t>
      </w:r>
      <w:r/>
    </w:p>
    <w:p>
      <w:pPr>
        <w:pStyle w:val="1002"/>
        <w:ind w:left="0" w:firstLine="567"/>
        <w:jc w:val="both"/>
        <w:spacing w:before="0" w:after="0"/>
      </w:pPr>
      <w:r>
        <w:t xml:space="preserve">9.2. Цена, предложенная участником закупки, не может быть превышена при заключении договора по итогам закупки.</w:t>
      </w:r>
      <w:r>
        <w:t xml:space="preserve"> </w:t>
      </w:r>
      <w:r/>
    </w:p>
    <w:p>
      <w:pPr>
        <w:pStyle w:val="1033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. Сведения о вк</w:t>
      </w:r>
      <w:r>
        <w:rPr>
          <w:sz w:val="24"/>
          <w:szCs w:val="24"/>
        </w:rPr>
        <w:t xml:space="preserve">люченных (не включенных) в цену расходах:  Предлагаемая участником цена договора должна быть конечной, т.е. включать в себя все предполагаемые расходы, связанные с выполнением обязательств по договору, в том числе налоги, сборы и иные обязательные платежи.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33"/>
        <w:spacing w:after="0" w:line="240" w:lineRule="auto"/>
        <w:tabs>
          <w:tab w:val="num" w:pos="-643" w:leader="none"/>
        </w:tabs>
        <w:rPr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9.4. </w:t>
      </w:r>
      <w:r>
        <w:rPr>
          <w:bCs/>
          <w:sz w:val="24"/>
          <w:szCs w:val="24"/>
        </w:rPr>
        <w:t xml:space="preserve">В случае предложения участником (участниками) закупочной процедуры аномально низкой цены относительно начальной (максимальной) цены закупочной процедуры:</w:t>
      </w:r>
      <w:r>
        <w:rPr>
          <w:bCs/>
          <w:sz w:val="24"/>
          <w:szCs w:val="24"/>
          <w:lang w:val="ru-RU"/>
        </w:rPr>
      </w:r>
      <w:r>
        <w:rPr>
          <w:bCs/>
          <w:sz w:val="24"/>
          <w:szCs w:val="24"/>
          <w:lang w:val="ru-RU"/>
        </w:rPr>
      </w:r>
    </w:p>
    <w:p>
      <w:pPr>
        <w:pStyle w:val="1033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9.4.1. </w:t>
      </w:r>
      <w:r>
        <w:rPr>
          <w:sz w:val="24"/>
          <w:szCs w:val="24"/>
        </w:rPr>
        <w:t xml:space="preserve">Под аномально низкой ценой (демпингом) понимается снижение цены Участником </w:t>
      </w:r>
      <w:r>
        <w:rPr>
          <w:sz w:val="24"/>
          <w:szCs w:val="24"/>
          <w:lang w:val="ru-RU"/>
        </w:rPr>
        <w:t xml:space="preserve">запроса цен</w:t>
      </w:r>
      <w:r>
        <w:rPr>
          <w:sz w:val="24"/>
          <w:szCs w:val="24"/>
        </w:rPr>
        <w:t xml:space="preserve"> относительно начальной (максимальной) цены договора (цены </w:t>
      </w:r>
      <w:r>
        <w:rPr>
          <w:sz w:val="24"/>
          <w:szCs w:val="24"/>
          <w:lang w:val="ru-RU"/>
        </w:rPr>
        <w:t xml:space="preserve">закупки</w:t>
      </w:r>
      <w:r>
        <w:rPr>
          <w:sz w:val="24"/>
          <w:szCs w:val="24"/>
        </w:rPr>
        <w:t xml:space="preserve">), указанной Заказчиком в извещении </w:t>
      </w:r>
      <w:r>
        <w:rPr>
          <w:sz w:val="24"/>
          <w:szCs w:val="24"/>
          <w:lang w:val="ru-RU"/>
        </w:rPr>
        <w:t xml:space="preserve">по запросу цен</w:t>
      </w:r>
      <w:r>
        <w:rPr>
          <w:sz w:val="24"/>
          <w:szCs w:val="24"/>
        </w:rPr>
        <w:t xml:space="preserve">, на 25 и более процентов.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33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9.4.2. </w:t>
      </w:r>
      <w:r>
        <w:rPr>
          <w:sz w:val="24"/>
          <w:szCs w:val="24"/>
        </w:rPr>
        <w:t xml:space="preserve">При выявлении случаев предложения Участником или несколькими Участниками </w:t>
      </w:r>
      <w:r>
        <w:rPr>
          <w:sz w:val="24"/>
          <w:szCs w:val="24"/>
        </w:rPr>
        <w:t xml:space="preserve">ценового предложения на 25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более процентов ниже начальной (максимальной) цены договора (цены </w:t>
      </w:r>
      <w:r>
        <w:rPr>
          <w:sz w:val="24"/>
          <w:szCs w:val="24"/>
          <w:lang w:val="ru-RU"/>
        </w:rPr>
        <w:t xml:space="preserve">закупки</w:t>
      </w:r>
      <w:r>
        <w:rPr>
          <w:sz w:val="24"/>
          <w:szCs w:val="24"/>
        </w:rPr>
        <w:t xml:space="preserve">) по итогам вскрытия </w:t>
      </w:r>
      <w:r>
        <w:rPr>
          <w:sz w:val="24"/>
          <w:szCs w:val="24"/>
          <w:lang w:val="ru-RU"/>
        </w:rPr>
        <w:t xml:space="preserve">заявок </w:t>
      </w:r>
      <w:r>
        <w:rPr>
          <w:sz w:val="24"/>
          <w:szCs w:val="24"/>
        </w:rPr>
        <w:t xml:space="preserve">Участников, либо завершения закупочной процедуры на понижение цены (переторжки),</w:t>
      </w:r>
      <w:r>
        <w:rPr>
          <w:sz w:val="24"/>
          <w:szCs w:val="24"/>
          <w:lang w:val="ru-RU"/>
        </w:rPr>
        <w:t xml:space="preserve"> победитель закупочной процедуры </w:t>
      </w:r>
      <w:r>
        <w:rPr>
          <w:sz w:val="24"/>
          <w:szCs w:val="24"/>
        </w:rPr>
        <w:t xml:space="preserve">обязан предостав</w:t>
      </w:r>
      <w:r>
        <w:rPr>
          <w:sz w:val="24"/>
          <w:szCs w:val="24"/>
          <w:lang w:val="ru-RU"/>
        </w:rPr>
        <w:t xml:space="preserve">ить</w:t>
      </w:r>
      <w:r>
        <w:rPr>
          <w:sz w:val="24"/>
          <w:szCs w:val="24"/>
        </w:rPr>
        <w:t xml:space="preserve"> обеспечение исполнения обязательств по договору в размере </w:t>
      </w:r>
      <w:r>
        <w:rPr>
          <w:sz w:val="24"/>
          <w:szCs w:val="24"/>
          <w:lang w:val="ru-RU"/>
        </w:rPr>
        <w:t xml:space="preserve"> и в сроки, </w:t>
      </w:r>
      <w:r>
        <w:rPr>
          <w:sz w:val="24"/>
          <w:szCs w:val="24"/>
          <w:lang w:val="ru-RU"/>
        </w:rPr>
        <w:t xml:space="preserve">установленные в проекте договора с учётом применения Таблицы №1. Данная информация</w:t>
      </w:r>
      <w:r>
        <w:rPr>
          <w:sz w:val="24"/>
          <w:szCs w:val="24"/>
          <w:lang w:val="ru-RU"/>
        </w:rPr>
        <w:t xml:space="preserve"> будет отражена в итоговом протоколе.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33"/>
        <w:jc w:val="right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33"/>
        <w:jc w:val="right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33"/>
        <w:jc w:val="right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Таблица №1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4111"/>
        <w:gridCol w:w="3544"/>
      </w:tblGrid>
      <w:tr>
        <w:tblPrEx/>
        <w:trPr>
          <w:trHeight w:val="861"/>
        </w:trPr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№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п/п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Матрица договорных условий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76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Изменения размера обеспечения исполнения договора в случае подачи участником закупки </w:t>
            </w:r>
            <w:r>
              <w:rPr>
                <w:sz w:val="24"/>
                <w:szCs w:val="24"/>
              </w:rPr>
              <w:t xml:space="preserve">аномально низкого ценового предложения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>
          <w:trHeight w:val="2250"/>
        </w:trPr>
        <w:tc>
          <w:tcPr>
            <w:shd w:val="clear" w:color="auto" w:fill="auto"/>
            <w:tcW w:w="567" w:type="dxa"/>
            <w:vMerge w:val="continue"/>
            <w:textDirection w:val="lrTb"/>
            <w:noWrap w:val="false"/>
          </w:tcPr>
          <w:p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Требование по обеспечению исполнения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Размер обеспечения исполнения договора </w:t>
            </w:r>
            <w:r>
              <w:rPr>
                <w:rFonts w:eastAsia="Calibri"/>
                <w:sz w:val="24"/>
                <w:szCs w:val="24"/>
              </w:rPr>
              <w:br/>
              <w:t xml:space="preserve">(на все обязательства по договору) 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(за исключением закупок, участниками которых могут быть только субъекты малого и среднего предпринимательства </w:t>
            </w:r>
            <w:r>
              <w:rPr>
                <w:sz w:val="24"/>
                <w:szCs w:val="24"/>
              </w:rPr>
              <w:br/>
              <w:t xml:space="preserve">(далее - МСП)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vAlign w:val="center"/>
            <w:textDirection w:val="lrTb"/>
            <w:noWrap w:val="false"/>
          </w:tcPr>
          <w:p>
            <w:pPr>
              <w:ind w:right="175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Размер обеспечения исполнения договора </w:t>
            </w:r>
            <w:r>
              <w:rPr>
                <w:sz w:val="24"/>
                <w:szCs w:val="24"/>
              </w:rPr>
              <w:t xml:space="preserve">при проведении закупки, участниками которой могут быть только субъекты МСП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>
          <w:trHeight w:val="347"/>
        </w:trPr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предусмотрено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ПИР, поставка - 5% (пять) от начальной (максимальной) цены договора);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СМР, «под ключ», услуги</w:t>
            </w:r>
            <w:r>
              <w:rPr>
                <w:rFonts w:eastAsia="Calibri"/>
                <w:sz w:val="24"/>
                <w:szCs w:val="24"/>
              </w:rPr>
              <w:t xml:space="preserve">, подрядные работы, ремонтные работы</w:t>
            </w:r>
            <w:r>
              <w:rPr>
                <w:rFonts w:eastAsia="Calibri"/>
                <w:sz w:val="24"/>
                <w:szCs w:val="24"/>
              </w:rPr>
              <w:t xml:space="preserve"> - 30% (тридцать) от начальной (максимальной) цены договора)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3% (три) от начальной (максимальной) цены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>
          <w:trHeight w:val="1489"/>
        </w:trPr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предусмотрено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</w:t>
            </w:r>
            <w:r>
              <w:rPr>
                <w:rFonts w:eastAsia="Calibri"/>
                <w:sz w:val="24"/>
                <w:szCs w:val="24"/>
              </w:rPr>
              <w:t xml:space="preserve">начальной (максимальной) цены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увеличенное от первоначально установленного обеспечения исполнения договора в 1,5 (полтора) раза, но не более 5% (пяти) от начальной (максимальной) цены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3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9.4.3. </w:t>
      </w:r>
      <w:r>
        <w:rPr>
          <w:sz w:val="24"/>
          <w:szCs w:val="24"/>
        </w:rPr>
        <w:t xml:space="preserve">В случае</w:t>
      </w:r>
      <w:r>
        <w:rPr>
          <w:sz w:val="24"/>
          <w:szCs w:val="24"/>
          <w:lang w:val="ru-RU"/>
        </w:rPr>
        <w:t xml:space="preserve"> несоблюдения требований</w:t>
      </w:r>
      <w:r>
        <w:rPr>
          <w:sz w:val="24"/>
          <w:szCs w:val="24"/>
        </w:rPr>
        <w:t xml:space="preserve">,</w:t>
      </w:r>
      <w:r>
        <w:rPr>
          <w:sz w:val="24"/>
          <w:szCs w:val="24"/>
          <w:lang w:val="ru-RU"/>
        </w:rPr>
        <w:t xml:space="preserve"> установленных в п. 9.4.2 победитель закупочной процедуры </w:t>
      </w:r>
      <w:r>
        <w:rPr>
          <w:sz w:val="24"/>
          <w:szCs w:val="24"/>
        </w:rPr>
        <w:t xml:space="preserve">признается уклонившимся от заключения договора.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33"/>
        <w:spacing w:after="0" w:line="240" w:lineRule="auto"/>
        <w:tabs>
          <w:tab w:val="num" w:pos="-643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9.5. </w:t>
      </w:r>
      <w:r>
        <w:rPr>
          <w:sz w:val="24"/>
          <w:szCs w:val="24"/>
        </w:rPr>
        <w:t xml:space="preserve">Условия оплаты: в соответствии с </w:t>
      </w:r>
      <w:r>
        <w:rPr>
          <w:sz w:val="24"/>
          <w:szCs w:val="24"/>
          <w:lang w:val="ru-RU"/>
        </w:rPr>
        <w:t xml:space="preserve">Проектом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(Приложение №2) </w:t>
      </w:r>
      <w:r>
        <w:rPr>
          <w:sz w:val="24"/>
          <w:szCs w:val="24"/>
          <w:lang w:val="ru-RU"/>
        </w:rPr>
        <w:t xml:space="preserve">Извещения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27"/>
        </w:numPr>
        <w:ind w:left="0" w:firstLine="709"/>
        <w:spacing w:before="0" w:line="240" w:lineRule="auto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Место, дата и порядок подачи предложений участниками: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0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Участники подают свои предложения в форме электронного доку</w:t>
      </w:r>
      <w:r>
        <w:rPr>
          <w:sz w:val="24"/>
          <w:szCs w:val="24"/>
        </w:rPr>
        <w:t xml:space="preserve">мента, оформленного в соответствии с требованиями действующего законодательства (Федеральный закон от 10.01.2002 г. № 1-ФЗ «Об электронной цифровой подписи», Федеральный закон от 27.07.2006 г. № 149-ФЗ «Об информации, информационных технологиях и о защите </w:t>
      </w:r>
      <w:r>
        <w:rPr>
          <w:sz w:val="24"/>
          <w:szCs w:val="24"/>
        </w:rPr>
        <w:t xml:space="preserve">информации») через торговую площадку </w:t>
      </w:r>
      <w:sdt>
        <w:sdtPr>
          <w:alias w:val="Site"/>
          <w15:appearance w15:val="boundingBox"/>
          <w:id w:val="-48770791"/>
          <w:placeholder>
            <w:docPart w:val="3C9AE386FA364E40A13F2A0999ECA287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в соответствии с правилами и регламентами, действующими на данной площадке. Предложения должны быть</w:t>
      </w:r>
      <w:r>
        <w:rPr>
          <w:sz w:val="24"/>
          <w:szCs w:val="24"/>
        </w:rPr>
        <w:t xml:space="preserve"> поданы в электронный сейф Организатора закупки с использованием реализованных на ЭТП средств защиты информации.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0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О</w:t>
      </w:r>
      <w:r>
        <w:rPr>
          <w:sz w:val="24"/>
          <w:szCs w:val="24"/>
          <w:lang w:val="ru-RU"/>
        </w:rPr>
        <w:t xml:space="preserve">рганизатор закупки </w:t>
      </w:r>
      <w:r>
        <w:rPr>
          <w:sz w:val="24"/>
          <w:szCs w:val="24"/>
        </w:rPr>
        <w:t xml:space="preserve">заканчивает принимать </w:t>
      </w:r>
      <w:r>
        <w:rPr>
          <w:sz w:val="24"/>
          <w:szCs w:val="24"/>
          <w:lang w:val="ru-RU"/>
        </w:rPr>
        <w:t xml:space="preserve">предложения</w:t>
      </w:r>
      <w:r>
        <w:rPr>
          <w:sz w:val="24"/>
          <w:szCs w:val="24"/>
        </w:rPr>
        <w:t xml:space="preserve"> участников </w:t>
      </w:r>
      <w:r>
        <w:rPr>
          <w:b/>
          <w:color w:val="ff0000"/>
          <w:sz w:val="24"/>
          <w:szCs w:val="24"/>
        </w:rPr>
        <w:t xml:space="preserve">в </w:t>
      </w:r>
      <w:r>
        <w:rPr>
          <w:b/>
          <w:color w:val="ff0000"/>
          <w:sz w:val="24"/>
          <w:szCs w:val="24"/>
          <w:lang w:val="ru-RU"/>
        </w:rPr>
        <w:t xml:space="preserve">1</w:t>
      </w:r>
      <w:r>
        <w:rPr>
          <w:b/>
          <w:color w:val="ff0000"/>
          <w:sz w:val="24"/>
          <w:szCs w:val="24"/>
          <w:lang w:val="ru-RU"/>
        </w:rPr>
        <w:t xml:space="preserve">1</w:t>
      </w:r>
      <w:r>
        <w:rPr>
          <w:b/>
          <w:color w:val="ff0000"/>
          <w:sz w:val="24"/>
          <w:szCs w:val="24"/>
        </w:rPr>
        <w:t xml:space="preserve">.</w:t>
      </w:r>
      <w:r>
        <w:rPr>
          <w:b/>
          <w:color w:val="ff0000"/>
          <w:sz w:val="24"/>
          <w:szCs w:val="24"/>
          <w:lang w:val="ru-RU"/>
        </w:rPr>
        <w:t xml:space="preserve">00 ч. </w:t>
      </w:r>
      <w:r>
        <w:rPr>
          <w:b/>
          <w:color w:val="ff0000"/>
          <w:sz w:val="24"/>
          <w:szCs w:val="24"/>
        </w:rPr>
        <w:t xml:space="preserve">(время московское) </w:t>
      </w:r>
      <w:sdt>
        <w:sdtPr>
          <w:alias w:val="AnnounceF"/>
          <w15:appearance w15:val="boundingBox"/>
          <w:id w:val="-1433354971"/>
          <w:lock w:val="sdtLocked"/>
          <w:placeholder>
            <w:docPart w:val="DefaultPlaceholder_-1854013440"/>
          </w:placeholder>
          <w:tag w:val="AnnounceF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  <w:lang w:val="ru-RU"/>
            </w:rPr>
            <w:t xml:space="preserve">«02</w:t>
          </w:r>
          <w:r>
            <w:rPr>
              <w:b/>
              <w:color w:val="ff0000"/>
              <w:sz w:val="24"/>
              <w:szCs w:val="24"/>
              <w:lang w:val="ru-RU"/>
            </w:rPr>
            <w:t xml:space="preserve">» июня</w:t>
          </w:r>
          <w:r>
            <w:rPr>
              <w:b/>
              <w:color w:val="ff0000"/>
              <w:sz w:val="24"/>
              <w:szCs w:val="24"/>
              <w:lang w:val="ru-RU"/>
            </w:rPr>
            <w:t xml:space="preserve"> 202</w:t>
          </w:r>
          <w:r>
            <w:rPr>
              <w:b/>
              <w:color w:val="ff0000"/>
              <w:sz w:val="24"/>
              <w:szCs w:val="24"/>
              <w:lang w:val="ru-RU"/>
            </w:rPr>
            <w:t xml:space="preserve">6 г.</w:t>
          </w:r>
        </w:sdtContent>
      </w:sdt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0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Приложение</w:t>
      </w:r>
      <w:r>
        <w:rPr>
          <w:sz w:val="24"/>
          <w:szCs w:val="24"/>
          <w:lang w:val="ru-RU"/>
        </w:rPr>
        <w:t xml:space="preserve"> №3 подаются участником на ЭТП </w:t>
      </w:r>
      <w:sdt>
        <w:sdtPr>
          <w:alias w:val="Site"/>
          <w15:appearance w15:val="boundingBox"/>
          <w:id w:val="-1598394530"/>
          <w:placeholder>
            <w:docPart w:val="B60EF0BF4E664FF68A46F0B44E9B38CA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  <w:lang w:val="ru-RU"/>
        </w:rPr>
        <w:t xml:space="preserve"> в поле «</w:t>
      </w:r>
      <w:r>
        <w:rPr>
          <w:sz w:val="24"/>
          <w:szCs w:val="24"/>
          <w:lang w:val="ru-RU"/>
        </w:rPr>
        <w:t xml:space="preserve">Основная часть»</w:t>
      </w:r>
      <w:r>
        <w:rPr>
          <w:sz w:val="24"/>
          <w:szCs w:val="24"/>
          <w:lang w:val="ru-RU"/>
        </w:rPr>
        <w:t xml:space="preserve">».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10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Приложение №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  <w:lang w:val="ru-RU"/>
        </w:rPr>
        <w:t xml:space="preserve"> подается участником на ЭТП </w:t>
      </w:r>
      <w:sdt>
        <w:sdtPr>
          <w:alias w:val="Site"/>
          <w15:appearance w15:val="boundingBox"/>
          <w:id w:val="-234936203"/>
          <w:placeholder>
            <w:docPart w:val="A249608846144580911DDF40F6BAB79B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  <w:lang w:val="ru-RU"/>
        </w:rPr>
        <w:t xml:space="preserve"> в поле «</w:t>
      </w:r>
      <w:r>
        <w:rPr>
          <w:sz w:val="24"/>
          <w:szCs w:val="24"/>
          <w:lang w:val="ru-RU"/>
        </w:rPr>
        <w:t xml:space="preserve">Коммерческая часть</w:t>
      </w:r>
      <w:r>
        <w:rPr>
          <w:sz w:val="24"/>
          <w:szCs w:val="24"/>
          <w:lang w:val="ru-RU"/>
        </w:rPr>
        <w:t xml:space="preserve">».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0"/>
        <w:spacing w:line="240" w:lineRule="auto"/>
        <w:rPr>
          <w:rStyle w:val="1014"/>
          <w:sz w:val="24"/>
          <w:szCs w:val="24"/>
        </w:rPr>
      </w:pPr>
      <w:r>
        <w:rPr>
          <w:sz w:val="24"/>
          <w:szCs w:val="24"/>
        </w:rPr>
      </w:r>
      <w:r>
        <w:rPr>
          <w:rStyle w:val="1014"/>
          <w:sz w:val="24"/>
          <w:szCs w:val="24"/>
        </w:rPr>
      </w:r>
      <w:r>
        <w:rPr>
          <w:rStyle w:val="1014"/>
          <w:sz w:val="24"/>
          <w:szCs w:val="24"/>
        </w:rPr>
      </w:r>
    </w:p>
    <w:p>
      <w:pPr>
        <w:ind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11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Процедура открытия доступа к </w:t>
      </w:r>
      <w:r>
        <w:rPr>
          <w:sz w:val="24"/>
          <w:szCs w:val="24"/>
        </w:rPr>
        <w:t xml:space="preserve">предложениям участников произойдет в соответствии </w:t>
      </w:r>
      <w:r>
        <w:rPr>
          <w:sz w:val="24"/>
          <w:szCs w:val="24"/>
        </w:rPr>
        <w:t xml:space="preserve">с Регламентом работы ЭТП </w:t>
      </w:r>
      <w:sdt>
        <w:sdtPr>
          <w:alias w:val="Site"/>
          <w15:appearance w15:val="boundingBox"/>
          <w:id w:val="-117218440"/>
          <w:placeholder>
            <w:docPart w:val="427B9CD5AA844643A9873B11EDF1D44A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1701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11</w:t>
      </w:r>
      <w:r>
        <w:rPr>
          <w:sz w:val="24"/>
          <w:szCs w:val="24"/>
        </w:rPr>
        <w:t xml:space="preserve">.1.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Организатор получает одновременный доступ, к поступившим предложениям Участников начиная </w:t>
      </w:r>
      <w:r>
        <w:rPr>
          <w:b/>
          <w:color w:val="ff0000"/>
          <w:sz w:val="24"/>
          <w:szCs w:val="24"/>
        </w:rPr>
        <w:t xml:space="preserve">с </w:t>
      </w:r>
      <w:r>
        <w:rPr>
          <w:b/>
          <w:color w:val="ff0000"/>
          <w:sz w:val="24"/>
          <w:szCs w:val="24"/>
        </w:rPr>
        <w:t xml:space="preserve">1</w:t>
      </w:r>
      <w:r>
        <w:rPr>
          <w:b/>
          <w:color w:val="ff0000"/>
          <w:sz w:val="24"/>
          <w:szCs w:val="24"/>
        </w:rPr>
        <w:t xml:space="preserve">1</w:t>
      </w:r>
      <w:r>
        <w:rPr>
          <w:b/>
          <w:color w:val="ff0000"/>
          <w:sz w:val="24"/>
          <w:szCs w:val="24"/>
        </w:rPr>
        <w:t xml:space="preserve">.00 ч</w:t>
      </w:r>
      <w:r>
        <w:rPr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 xml:space="preserve">(по московскому времени) </w:t>
      </w:r>
      <w:sdt>
        <w:sdtPr>
          <w:alias w:val="AnnounceF"/>
          <w15:appearance w15:val="boundingBox"/>
          <w:id w:val="-930117165"/>
          <w:lock w:val="sdtLocked"/>
          <w:placeholder>
            <w:docPart w:val="DefaultPlaceholder_-1854013440"/>
          </w:placeholder>
          <w:tag w:val="AnnounceF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</w:rPr>
            <w:t xml:space="preserve">«02</w:t>
          </w:r>
          <w:r>
            <w:rPr>
              <w:b/>
              <w:color w:val="ff0000"/>
              <w:sz w:val="24"/>
              <w:szCs w:val="24"/>
            </w:rPr>
            <w:t xml:space="preserve">» июня</w:t>
          </w:r>
          <w:r>
            <w:rPr>
              <w:b/>
              <w:color w:val="ff0000"/>
              <w:sz w:val="24"/>
              <w:szCs w:val="24"/>
            </w:rPr>
            <w:t xml:space="preserve"> 202</w:t>
          </w:r>
          <w:r>
            <w:rPr>
              <w:b/>
              <w:color w:val="ff0000"/>
              <w:sz w:val="24"/>
              <w:szCs w:val="24"/>
            </w:rPr>
            <w:t xml:space="preserve">6г.</w:t>
          </w:r>
        </w:sdtContent>
      </w:sdt>
      <w:r>
        <w:rPr>
          <w:sz w:val="24"/>
          <w:szCs w:val="24"/>
        </w:rPr>
        <w:t xml:space="preserve"> в соответствии с Правилами и Инструкциями по проведению закупочных процедур, размещенными на сайте </w:t>
      </w:r>
      <w:sdt>
        <w:sdtPr>
          <w:alias w:val="Site"/>
          <w15:appearance w15:val="boundingBox"/>
          <w:id w:val="477967663"/>
          <w:placeholder>
            <w:docPart w:val="3A3E3E1E128643949FB243F7617F8CBD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17"/>
        <w:numPr>
          <w:ilvl w:val="0"/>
          <w:numId w:val="30"/>
        </w:numPr>
        <w:ind w:left="0" w:firstLine="709"/>
        <w:spacing w:before="0" w:line="240" w:lineRule="auto"/>
        <w:widowControl w:val="off"/>
        <w:tabs>
          <w:tab w:val="left" w:pos="1701" w:leader="none"/>
        </w:tabs>
        <w:rPr>
          <w:b/>
          <w:sz w:val="24"/>
          <w:szCs w:val="24"/>
        </w:rPr>
      </w:pPr>
      <w:r/>
      <w:bookmarkStart w:id="15" w:name="_Toc123405457"/>
      <w:r/>
      <w:bookmarkStart w:id="16" w:name="_Toc79674030"/>
      <w:r>
        <w:rPr>
          <w:b/>
          <w:sz w:val="24"/>
          <w:szCs w:val="24"/>
        </w:rPr>
        <w:t xml:space="preserve">Требования к </w:t>
      </w:r>
      <w:bookmarkEnd w:id="15"/>
      <w:r>
        <w:rPr>
          <w:b/>
          <w:sz w:val="24"/>
          <w:szCs w:val="24"/>
        </w:rPr>
        <w:t xml:space="preserve">участникам закупки</w:t>
      </w:r>
      <w:bookmarkEnd w:id="16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ind w:left="426" w:firstLine="0"/>
        <w:spacing w:before="0" w:line="240" w:lineRule="auto"/>
        <w:widowControl w:val="off"/>
        <w:tabs>
          <w:tab w:val="left" w:pos="1701" w:leader="none"/>
        </w:tabs>
        <w:rPr>
          <w:b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12.1.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Участником закупки может быть любое юридическое лицо или несколько юридических лиц, выступающих на стороне одного участника закупк</w:t>
      </w:r>
      <w:r>
        <w:rPr>
          <w:sz w:val="24"/>
          <w:szCs w:val="24"/>
        </w:rPr>
        <w:t xml:space="preserve">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14.07.2022 года № 255-ФЗ "О конт</w:t>
      </w:r>
      <w:r>
        <w:rPr>
          <w:sz w:val="24"/>
          <w:szCs w:val="24"/>
        </w:rPr>
        <w:t xml:space="preserve">роле за деятельностью лиц, находящихся под иностранным влиянием,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</w:t>
      </w:r>
      <w:r>
        <w:rPr>
          <w:sz w:val="24"/>
          <w:szCs w:val="24"/>
        </w:rPr>
        <w:t xml:space="preserve">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14.07.2022 года № 255-ФЗ "О контроле за деятельностью лиц, находящихся под иностранным влиянием",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признанные Победителями </w:t>
      </w:r>
      <w:sdt>
        <w:sdtPr>
          <w:alias w:val="Condition"/>
          <w15:appearance w15:val="boundingBox"/>
          <w:id w:val="-239102491"/>
          <w:placeholder>
            <w:docPart w:val="720A289EF0F84CF0AF0D07DCB49D7774"/>
          </w:placeholder>
          <w:tag w:val="Condition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конкурентного предварительного</w:t>
          </w:r>
        </w:sdtContent>
      </w:sdt>
      <w:r>
        <w:rPr>
          <w:sz w:val="24"/>
          <w:szCs w:val="24"/>
        </w:rPr>
        <w:t xml:space="preserve"> отбора на основании Протокола Закупочной комиссии ПАО «Россети Ленэнерго» от </w:t>
      </w:r>
      <w:sdt>
        <w:sdtPr>
          <w:alias w:val="FinalReportDate"/>
          <w15:appearance w15:val="boundingBox"/>
          <w:id w:val="-476759744"/>
          <w:placeholder>
            <w:docPart w:val="720A289EF0F84CF0AF0D07DCB49D7774"/>
          </w:placeholder>
          <w:tag w:val="FinalReportDate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«</w:t>
          </w:r>
          <w:r>
            <w:rPr>
              <w:sz w:val="24"/>
              <w:szCs w:val="24"/>
            </w:rPr>
            <w:t xml:space="preserve">14» октября</w:t>
          </w:r>
          <w:r>
            <w:rPr>
              <w:sz w:val="24"/>
              <w:szCs w:val="24"/>
            </w:rPr>
          </w:r>
          <w:r>
            <w:rPr>
              <w:sz w:val="24"/>
              <w:szCs w:val="24"/>
            </w:rPr>
            <w:t xml:space="preserve"> 202</w:t>
          </w:r>
          <w:r>
            <w:rPr>
              <w:sz w:val="24"/>
              <w:szCs w:val="24"/>
            </w:rPr>
            <w:t xml:space="preserve">5г.</w:t>
          </w:r>
        </w:sdtContent>
      </w:sdt>
      <w:r>
        <w:rPr>
          <w:sz w:val="24"/>
          <w:szCs w:val="24"/>
        </w:rPr>
        <w:t xml:space="preserve"> и заключивших соответствующие Рамочные соглашения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ind w:left="840"/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ind w:left="840"/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ind w:left="840"/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numPr>
          <w:ilvl w:val="0"/>
          <w:numId w:val="30"/>
        </w:numPr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Требования к предложениям участников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0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  <w:lang w:val="ru-RU"/>
        </w:rPr>
      </w:pPr>
      <w:r>
        <w:rPr>
          <w:rStyle w:val="1014"/>
          <w:b w:val="0"/>
          <w:i w:val="0"/>
          <w:sz w:val="24"/>
          <w:szCs w:val="24"/>
          <w:lang w:val="ru-RU"/>
        </w:rPr>
        <w:t xml:space="preserve">Участники</w:t>
      </w:r>
      <w:r>
        <w:rPr>
          <w:rStyle w:val="1014"/>
          <w:b w:val="0"/>
          <w:i w:val="0"/>
          <w:sz w:val="24"/>
          <w:szCs w:val="24"/>
        </w:rPr>
        <w:t xml:space="preserve"> име</w:t>
      </w:r>
      <w:r>
        <w:rPr>
          <w:rStyle w:val="1014"/>
          <w:b w:val="0"/>
          <w:i w:val="0"/>
          <w:sz w:val="24"/>
          <w:szCs w:val="24"/>
          <w:lang w:val="ru-RU"/>
        </w:rPr>
        <w:t xml:space="preserve">ю</w:t>
      </w:r>
      <w:r>
        <w:rPr>
          <w:rStyle w:val="1014"/>
          <w:b w:val="0"/>
          <w:i w:val="0"/>
          <w:sz w:val="24"/>
          <w:szCs w:val="24"/>
        </w:rPr>
        <w:t xml:space="preserve">т право подать </w:t>
      </w:r>
      <w:r>
        <w:rPr>
          <w:rStyle w:val="1014"/>
          <w:b w:val="0"/>
          <w:i w:val="0"/>
          <w:sz w:val="24"/>
          <w:szCs w:val="24"/>
          <w:lang w:val="ru-RU"/>
        </w:rPr>
        <w:t xml:space="preserve">одно</w:t>
      </w:r>
      <w:r>
        <w:rPr>
          <w:rStyle w:val="1014"/>
          <w:b w:val="0"/>
          <w:i w:val="0"/>
          <w:sz w:val="24"/>
          <w:szCs w:val="24"/>
        </w:rPr>
        <w:t xml:space="preserve"> ценов</w:t>
      </w:r>
      <w:r>
        <w:rPr>
          <w:rStyle w:val="1014"/>
          <w:b w:val="0"/>
          <w:i w:val="0"/>
          <w:sz w:val="24"/>
          <w:szCs w:val="24"/>
          <w:lang w:val="ru-RU"/>
        </w:rPr>
        <w:t xml:space="preserve">ое</w:t>
      </w:r>
      <w:r>
        <w:rPr>
          <w:rStyle w:val="1014"/>
          <w:b w:val="0"/>
          <w:i w:val="0"/>
          <w:sz w:val="24"/>
          <w:szCs w:val="24"/>
        </w:rPr>
        <w:t xml:space="preserve"> предложени</w:t>
      </w:r>
      <w:r>
        <w:rPr>
          <w:rStyle w:val="1014"/>
          <w:b w:val="0"/>
          <w:i w:val="0"/>
          <w:sz w:val="24"/>
          <w:szCs w:val="24"/>
          <w:lang w:val="ru-RU"/>
        </w:rPr>
        <w:t xml:space="preserve">е </w:t>
      </w:r>
      <w:r>
        <w:rPr>
          <w:rStyle w:val="1014"/>
          <w:b w:val="0"/>
          <w:i w:val="0"/>
          <w:sz w:val="24"/>
          <w:szCs w:val="24"/>
        </w:rPr>
        <w:t xml:space="preserve">в соответствии с </w:t>
      </w:r>
      <w:r>
        <w:rPr>
          <w:rStyle w:val="1014"/>
          <w:b w:val="0"/>
          <w:i w:val="0"/>
          <w:sz w:val="24"/>
          <w:szCs w:val="24"/>
          <w:lang w:val="ru-RU"/>
        </w:rPr>
        <w:t xml:space="preserve">Р</w:t>
      </w:r>
      <w:r>
        <w:rPr>
          <w:rStyle w:val="1014"/>
          <w:b w:val="0"/>
          <w:i w:val="0"/>
          <w:sz w:val="24"/>
          <w:szCs w:val="24"/>
          <w:lang w:val="ru-RU"/>
        </w:rPr>
        <w:t xml:space="preserve">егламентом</w:t>
      </w:r>
      <w:r>
        <w:rPr>
          <w:rStyle w:val="1014"/>
          <w:b w:val="0"/>
          <w:i w:val="0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ЭТП </w:t>
      </w:r>
      <w:sdt>
        <w:sdtPr>
          <w:alias w:val="Site"/>
          <w15:appearance w15:val="boundingBox"/>
          <w:id w:val="1798255425"/>
          <w:placeholder>
            <w:docPart w:val="22473156EDBC4E9C88E2E771C6D0E81F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45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Заявка участника на участие в закупке должна содержать сведения и документы, указанные в Приложениях</w:t>
      </w:r>
      <w:r>
        <w:rPr>
          <w:sz w:val="24"/>
          <w:szCs w:val="24"/>
        </w:rPr>
        <w:t xml:space="preserve"> №3,</w:t>
      </w:r>
      <w:r>
        <w:rPr>
          <w:sz w:val="24"/>
          <w:szCs w:val="24"/>
        </w:rPr>
        <w:t xml:space="preserve"> №4 извещения о закупке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5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/>
      <w:bookmarkStart w:id="17" w:name="_Ref166316209"/>
      <w:r>
        <w:rPr>
          <w:sz w:val="24"/>
          <w:szCs w:val="24"/>
        </w:rPr>
        <w:t xml:space="preserve">В случае неполного представления сведений и документов, перечисленных в Приложениях </w:t>
      </w:r>
      <w:r>
        <w:rPr>
          <w:sz w:val="24"/>
          <w:szCs w:val="24"/>
        </w:rPr>
        <w:t xml:space="preserve">№3,</w:t>
      </w:r>
      <w:r>
        <w:rPr>
          <w:sz w:val="24"/>
          <w:szCs w:val="24"/>
        </w:rPr>
        <w:t xml:space="preserve"> №4 извещения о закупке, Закупочная комиссия отклоняет заявку, поданную на участие в закупке</w:t>
      </w:r>
      <w:r>
        <w:rPr>
          <w:sz w:val="24"/>
          <w:szCs w:val="24"/>
        </w:rPr>
        <w:t xml:space="preserve">.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5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Ценовое предложение участника закупки не подлежит указанию в приложении №3. Сведения и документы, включающие в себя информацию о цене заявки участника закупки, должны быть включены в приложение №4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5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Стоимость, предложенная участником в оферте (размещенной на электронной торговой площадке) должна соответствовать окончательному ценовому предложению, поданному на запросной доске «котировочной доске» электронной торговой площадке </w:t>
      </w:r>
      <w:sdt>
        <w:sdtPr>
          <w:alias w:val="Site"/>
          <w15:appearance w15:val="boundingBox"/>
          <w:id w:val="-1640647336"/>
          <w:placeholder>
            <w:docPart w:val="582BAA6FD935433EA4461F3B1CD5D1C7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5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разночтения, в соответствии с Регламентом электронной торговой площадки, к рассмотрению будет приниматься цена, предложенная Участником на запросной доске ”котировочная доска” электронной торговой площадки </w:t>
      </w:r>
      <w:sdt>
        <w:sdtPr>
          <w:alias w:val="Site"/>
          <w15:appearance w15:val="boundingBox"/>
          <w:id w:val="-1018926329"/>
          <w:placeholder>
            <w:docPart w:val="3091E3B201A44E5781130AF4DEFDA924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5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существенного отклонения стоимости, предложенной участником в оферте и запросной доске ”котировочная доска”, Заказчик вправе отклонить предложение Участника без рассмотрения по существу.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5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Представление документов с отклонением от установленных в извещении о закупке форм может быть расценено Закупочной комиссией как несоответствие заявки на участие в закупке требованиям, установленным извещением о закупке.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5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Участники запроса цен </w:t>
      </w:r>
      <w:r>
        <w:rPr>
          <w:b/>
          <w:sz w:val="24"/>
          <w:szCs w:val="24"/>
        </w:rPr>
        <w:t xml:space="preserve">в обязательном порядке </w:t>
      </w:r>
      <w:r>
        <w:rPr>
          <w:sz w:val="24"/>
          <w:szCs w:val="24"/>
        </w:rPr>
        <w:t xml:space="preserve">должны направить свое предложение в электронный сейф электронной торговой площадки, включая все приложения к ней. Подача Участниками своих предложений осуществляется в соответствии с Инструкциями, размещенными на сайте ЭТП </w:t>
      </w:r>
      <w:sdt>
        <w:sdtPr>
          <w:alias w:val="Site"/>
          <w15:appearance w15:val="boundingBox"/>
          <w:id w:val="1435086916"/>
          <w:placeholder>
            <w:docPart w:val="571347FB2C11422E85EA085A6C1E6F1B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5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Предложение должно быть подписано электронно-цифровой подписью лица, имеющего право в соответствии с законодательством Российской Федерации действовать от </w:t>
      </w:r>
      <w:r>
        <w:rPr>
          <w:sz w:val="24"/>
          <w:szCs w:val="24"/>
        </w:rPr>
        <w:t xml:space="preserve">лица Участника без доверенности, или надлежащим образом, уполномоченным им лицом на основании доверенности (далее - уполномоченного лица). В последнем случае доверенность должна быть включена в состав документов, прилагаемых к предложению участника.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34"/>
        </w:numPr>
        <w:ind w:left="0" w:firstLine="709"/>
        <w:spacing w:before="0" w:line="240" w:lineRule="auto"/>
        <w:widowControl w:val="off"/>
        <w:tabs>
          <w:tab w:val="left" w:pos="284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Предложение должно быть подано на русском языке. Все цены должны быть выражены в российских рублях.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34"/>
        </w:numPr>
        <w:ind w:left="0" w:firstLine="709"/>
        <w:spacing w:before="0" w:line="240" w:lineRule="auto"/>
        <w:tabs>
          <w:tab w:val="left" w:pos="108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допускается подача предложения на отдельные позиции (лоты) или часть объема по какой-либо из позиций перечня закупаемого товара, указанных в Приложении №1. Предложение подается на все лоты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30"/>
        </w:numPr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Место и дата подведени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 итогов запроса цен: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ind w:left="840"/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ind w:left="0"/>
        <w:spacing w:before="0" w:line="240" w:lineRule="auto"/>
        <w:widowControl w:val="off"/>
        <w:rPr>
          <w:b/>
          <w:b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</w:rPr>
      </w:r>
      <w:sdt>
        <w:sdtPr>
          <w:alias w:val="AnnounceSPere"/>
          <w15:appearance w15:val="boundingBox"/>
          <w:id w:val="1448193532"/>
          <w:placeholder>
            <w:docPart w:val="458EC6C3736843ED82E8870A7FCDCA0E"/>
          </w:placeholder>
          <w:tag w:val="AnnounceSPere"/>
          <w:rPr>
            <w:b/>
            <w:color w:val="ff0000" w:themeColor="text1"/>
            <w:sz w:val="24"/>
            <w:szCs w:val="24"/>
          </w:rPr>
        </w:sdtPr>
        <w:sdtContent>
          <w:r>
            <w:rPr>
              <w:b/>
              <w:color w:val="000000" w:themeColor="text1"/>
              <w:sz w:val="24"/>
              <w:szCs w:val="24"/>
            </w:rPr>
            <w:t xml:space="preserve">Рассмотрение заявок участников:</w:t>
          </w:r>
        </w:sdtContent>
      </w:sdt>
      <w:r>
        <w:rPr>
          <w:b/>
          <w:color w:val="000000" w:themeColor="text1"/>
          <w:sz w:val="24"/>
          <w:szCs w:val="24"/>
        </w:rPr>
        <w:t xml:space="preserve"> </w:t>
      </w:r>
      <w:sdt>
        <w:sdtPr>
          <w:alias w:val="AnnounceS"/>
          <w15:appearance w15:val="boundingBox"/>
          <w:id w:val="-1162997805"/>
          <w:placeholder>
            <w:docPart w:val="458EC6C3736843ED82E8870A7FCDCA0E"/>
          </w:placeholder>
          <w:tag w:val="AnnounceS"/>
          <w:rPr>
            <w:b/>
            <w:color w:val="ff0000" w:themeColor="text1"/>
            <w:sz w:val="24"/>
            <w:szCs w:val="24"/>
          </w:rPr>
        </w:sdtPr>
        <w:sdtContent>
          <w:r>
            <w:rPr>
              <w:b/>
              <w:color w:val="000000" w:themeColor="text1"/>
              <w:sz w:val="24"/>
              <w:szCs w:val="24"/>
            </w:rPr>
            <w:t xml:space="preserve">«02</w:t>
          </w:r>
          <w:r>
            <w:rPr>
              <w:b/>
              <w:color w:val="000000" w:themeColor="text1"/>
              <w:sz w:val="24"/>
              <w:szCs w:val="24"/>
            </w:rPr>
            <w:t xml:space="preserve">» </w:t>
          </w:r>
          <w:r>
            <w:rPr>
              <w:b/>
              <w:color w:val="000000" w:themeColor="text1"/>
              <w:sz w:val="24"/>
              <w:szCs w:val="24"/>
            </w:rPr>
            <w:t xml:space="preserve">июня</w:t>
          </w:r>
          <w:r>
            <w:rPr>
              <w:b/>
              <w:color w:val="000000" w:themeColor="text1"/>
              <w:sz w:val="24"/>
              <w:szCs w:val="24"/>
            </w:rPr>
          </w:r>
          <w:r>
            <w:rPr>
              <w:b/>
              <w:color w:val="000000" w:themeColor="text1"/>
              <w:sz w:val="24"/>
              <w:szCs w:val="24"/>
            </w:rPr>
            <w:t xml:space="preserve"> </w:t>
          </w:r>
          <w:r>
            <w:rPr>
              <w:b/>
              <w:color w:val="000000" w:themeColor="text1"/>
              <w:sz w:val="24"/>
              <w:szCs w:val="24"/>
            </w:rPr>
            <w:t xml:space="preserve">202</w:t>
          </w:r>
          <w:r>
            <w:rPr>
              <w:b/>
              <w:color w:val="000000" w:themeColor="text1"/>
              <w:sz w:val="24"/>
              <w:szCs w:val="24"/>
            </w:rPr>
            <w:t xml:space="preserve">6 г.</w:t>
          </w:r>
        </w:sdtContent>
      </w:sdt>
      <w:r>
        <w:rPr>
          <w:b/>
          <w:bCs/>
          <w:color w:val="000000" w:themeColor="text1"/>
          <w:sz w:val="24"/>
          <w:szCs w:val="24"/>
          <w:highlight w:val="none"/>
        </w:rPr>
      </w:r>
      <w:r>
        <w:rPr>
          <w:b/>
          <w:bCs/>
          <w:color w:val="000000" w:themeColor="text1"/>
          <w:sz w:val="24"/>
          <w:szCs w:val="24"/>
          <w:highlight w:val="none"/>
        </w:rPr>
      </w:r>
    </w:p>
    <w:p>
      <w:pPr>
        <w:spacing w:line="240" w:lineRule="auto"/>
        <w:rPr>
          <w:b/>
          <w:color w:val="000000" w:themeColor="text1"/>
          <w:sz w:val="24"/>
          <w:szCs w:val="24"/>
        </w:rPr>
      </w:pPr>
      <w:r>
        <w:rPr>
          <w:color w:val="000000" w:themeColor="text1"/>
        </w:rPr>
      </w:r>
      <w:sdt>
        <w:sdtPr>
          <w:alias w:val="AnnounceS"/>
          <w15:appearance w15:val="boundingBox"/>
          <w:label w:val="0"/>
          <w:lock w:val="sdtLocked"/>
          <w:placeholder>
            <w:docPart w:val="82ca410b321645918faf041d4b296029"/>
          </w:placeholder>
          <w:tag w:val="AnnounceS"/>
          <w:rPr>
            <w:b/>
            <w:color w:val="ff0000" w:themeColor="text1"/>
            <w:sz w:val="24"/>
            <w:szCs w:val="24"/>
          </w:rPr>
        </w:sdtPr>
        <w:sdtContent>
          <w:r>
            <w:rPr>
              <w:b/>
              <w:color w:val="000000" w:themeColor="text1"/>
              <w:sz w:val="24"/>
              <w:szCs w:val="24"/>
            </w:rPr>
            <w:t xml:space="preserve">Переторжка: «03</w:t>
          </w:r>
          <w:r>
            <w:rPr>
              <w:b/>
              <w:color w:val="000000" w:themeColor="text1"/>
              <w:sz w:val="24"/>
              <w:szCs w:val="24"/>
            </w:rPr>
            <w:t xml:space="preserve">» июня</w:t>
          </w:r>
          <w:r>
            <w:rPr>
              <w:b/>
              <w:color w:val="000000" w:themeColor="text1"/>
              <w:sz w:val="24"/>
              <w:szCs w:val="24"/>
            </w:rPr>
            <w:t xml:space="preserve"> 2026</w:t>
          </w:r>
          <w:r>
            <w:rPr>
              <w:b/>
              <w:color w:val="000000" w:themeColor="text1"/>
              <w:sz w:val="24"/>
              <w:szCs w:val="24"/>
            </w:rPr>
            <w:t xml:space="preserve"> г.</w:t>
          </w:r>
        </w:sdtContent>
      </w:sdt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spacing w:line="240" w:lineRule="auto"/>
        <w:rPr>
          <w:b/>
          <w:color w:val="000000" w:themeColor="text1"/>
          <w:sz w:val="24"/>
          <w:szCs w:val="24"/>
        </w:rPr>
      </w:pPr>
      <w:r>
        <w:rPr>
          <w:color w:val="000000" w:themeColor="text1"/>
        </w:rPr>
      </w:r>
      <w:sdt>
        <w:sdtPr>
          <w:alias w:val="SummingDatePere"/>
          <w15:appearance w15:val="boundingBox"/>
          <w:id w:val="279537704"/>
          <w:lock w:val="sdtLocked"/>
          <w:placeholder>
            <w:docPart w:val="DefaultPlaceholder_-1854013440"/>
          </w:placeholder>
          <w:tag w:val="SummingDatePere"/>
          <w:rPr>
            <w:b/>
            <w:color w:val="ff0000" w:themeColor="text1"/>
            <w:sz w:val="24"/>
            <w:szCs w:val="24"/>
          </w:rPr>
        </w:sdtPr>
        <w:sdtContent>
          <w:r>
            <w:rPr>
              <w:b/>
              <w:color w:val="000000" w:themeColor="text1"/>
              <w:sz w:val="24"/>
              <w:szCs w:val="24"/>
            </w:rPr>
            <w:t xml:space="preserve">П</w:t>
          </w:r>
          <w:r>
            <w:rPr>
              <w:b/>
              <w:color w:val="000000" w:themeColor="text1"/>
              <w:sz w:val="24"/>
              <w:szCs w:val="24"/>
            </w:rPr>
            <w:t xml:space="preserve">одведение итогов запроса цен: «</w:t>
          </w:r>
          <w:r>
            <w:rPr>
              <w:b/>
              <w:color w:val="000000" w:themeColor="text1"/>
              <w:sz w:val="24"/>
              <w:szCs w:val="24"/>
            </w:rPr>
            <w:t xml:space="preserve">04» июня</w:t>
          </w:r>
          <w:r>
            <w:rPr>
              <w:b/>
              <w:color w:val="000000" w:themeColor="text1"/>
              <w:sz w:val="24"/>
              <w:szCs w:val="24"/>
            </w:rPr>
          </w:r>
          <w:r>
            <w:rPr>
              <w:b/>
              <w:color w:val="000000" w:themeColor="text1"/>
              <w:sz w:val="24"/>
              <w:szCs w:val="24"/>
            </w:rPr>
            <w:t xml:space="preserve"> </w:t>
          </w:r>
          <w:r>
            <w:rPr>
              <w:b/>
              <w:color w:val="000000" w:themeColor="text1"/>
              <w:sz w:val="24"/>
              <w:szCs w:val="24"/>
            </w:rPr>
            <w:t xml:space="preserve">2026</w:t>
          </w:r>
          <w:r>
            <w:rPr>
              <w:b/>
              <w:color w:val="000000" w:themeColor="text1"/>
              <w:sz w:val="24"/>
              <w:szCs w:val="24"/>
            </w:rPr>
            <w:t xml:space="preserve"> г.</w:t>
          </w:r>
        </w:sdtContent>
      </w:sdt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/>
      <w:sdt>
        <w:sdtPr>
          <w:alias w:val="lenPlanSummingDate"/>
          <w15:appearance w15:val="boundingBox"/>
          <w:id w:val="-613683424"/>
          <w:lock w:val="sdtLocked"/>
          <w:placeholder>
            <w:docPart w:val="DefaultPlaceholder_-1854013440"/>
          </w:placeholder>
          <w:tag w:val="lenPlanSummingDate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Итоговый протокол запроса цен имеет силу договора, определяющего обязанность сторон заключить договор на условиях, установленных Извещением о проведении запроса цен и заявкой Победителя запроса цен.</w:t>
          </w:r>
        </w:sdtContent>
      </w:sdt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30"/>
        </w:numPr>
        <w:ind w:left="0" w:firstLine="567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разъяснений положений </w:t>
      </w:r>
      <w:r>
        <w:rPr>
          <w:b/>
          <w:sz w:val="24"/>
          <w:szCs w:val="24"/>
        </w:rPr>
        <w:t xml:space="preserve">извещения</w:t>
      </w:r>
      <w:r>
        <w:rPr>
          <w:b/>
          <w:sz w:val="24"/>
          <w:szCs w:val="24"/>
        </w:rPr>
        <w:t xml:space="preserve"> о проведении </w:t>
      </w:r>
      <w:r>
        <w:rPr>
          <w:b/>
          <w:sz w:val="24"/>
          <w:szCs w:val="24"/>
        </w:rPr>
        <w:t xml:space="preserve">запроса цен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64"/>
        <w:numPr>
          <w:ilvl w:val="0"/>
          <w:numId w:val="35"/>
        </w:numPr>
        <w:ind w:left="0" w:firstLine="567"/>
        <w:jc w:val="both"/>
        <w:keepNext w:val="0"/>
        <w:spacing w:before="0" w:after="0"/>
        <w:tabs>
          <w:tab w:val="left" w:pos="1276" w:leader="none"/>
        </w:tabs>
        <w:rPr>
          <w:rFonts w:ascii="Times New Roman" w:hAnsi="Times New Roman"/>
          <w:bCs w:val="0"/>
          <w:color w:val="ff0000"/>
          <w:sz w:val="24"/>
          <w:szCs w:val="24"/>
          <w:lang w:val="ru-RU" w:eastAsia="ru-RU"/>
        </w:rPr>
      </w:pPr>
      <w:r/>
      <w:bookmarkStart w:id="18" w:name="_Ref166349349"/>
      <w:r>
        <w:rPr>
          <w:rFonts w:ascii="Times New Roman" w:hAnsi="Times New Roman"/>
          <w:b w:val="0"/>
          <w:bCs w:val="0"/>
          <w:sz w:val="24"/>
          <w:szCs w:val="24"/>
        </w:rPr>
        <w:t xml:space="preserve">Любой участник закупки вправе направить средствами электронной площадки Заказчику запрос о даче разъяснений положений извещения о закупке. Порядок подачи запроса на разъяснения положений извещения о закупке определяется </w:t>
      </w:r>
      <w:r>
        <w:rPr>
          <w:rFonts w:ascii="Times New Roman" w:hAnsi="Times New Roman"/>
          <w:b w:val="0"/>
          <w:sz w:val="24"/>
          <w:szCs w:val="24"/>
        </w:rPr>
        <w:t xml:space="preserve">Регламентом работы </w:t>
      </w:r>
      <w:r>
        <w:rPr>
          <w:rFonts w:ascii="Times New Roman" w:hAnsi="Times New Roman"/>
          <w:b w:val="0"/>
          <w:sz w:val="24"/>
          <w:szCs w:val="24"/>
        </w:rPr>
        <w:t xml:space="preserve">ЭТП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. Дата и время окончания срока предоставления участникам закупки разъяснений положений извещения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о закупке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- </w:t>
      </w:r>
      <w:r>
        <w:rPr>
          <w:rFonts w:ascii="Times New Roman" w:hAnsi="Times New Roman"/>
          <w:bCs w:val="0"/>
          <w:color w:val="ff0000"/>
          <w:sz w:val="24"/>
          <w:szCs w:val="24"/>
          <w:lang w:val="ru-RU" w:eastAsia="ru-RU"/>
        </w:rPr>
        <w:t xml:space="preserve">11.00 ч. (время московское) </w:t>
      </w:r>
      <w:sdt>
        <w:sdtPr>
          <w:alias w:val="AnnounceF"/>
          <w15:appearance w15:val="boundingBox"/>
          <w:id w:val="246461764"/>
          <w:lock w:val="sdtLocked"/>
          <w:placeholder>
            <w:docPart w:val="DefaultPlaceholder_-1854013440"/>
          </w:placeholder>
          <w:tag w:val="AnnounceF"/>
          <w:rPr>
            <w:rFonts w:ascii="Times New Roman" w:hAnsi="Times New Roman"/>
            <w:bCs w:val="0"/>
            <w:color w:val="ff0000"/>
            <w:sz w:val="24"/>
            <w:szCs w:val="24"/>
            <w:lang w:val="ru-RU" w:eastAsia="ru-RU"/>
          </w:rPr>
        </w:sdtPr>
        <w:sdtContent>
          <w:r>
            <w:rPr>
              <w:rFonts w:ascii="Times New Roman" w:hAnsi="Times New Roman"/>
              <w:color w:val="ff0000"/>
              <w:sz w:val="24"/>
              <w:szCs w:val="24"/>
              <w:lang w:val="ru-RU" w:eastAsia="ru-RU"/>
            </w:rPr>
            <w:t xml:space="preserve">«02</w:t>
          </w:r>
          <w:r>
            <w:rPr>
              <w:rFonts w:ascii="Times New Roman" w:hAnsi="Times New Roman"/>
              <w:color w:val="ff0000"/>
              <w:sz w:val="24"/>
              <w:szCs w:val="24"/>
              <w:lang w:val="ru-RU" w:eastAsia="ru-RU"/>
            </w:rPr>
            <w:t xml:space="preserve">» июня</w:t>
          </w:r>
          <w:r>
            <w:rPr>
              <w:rFonts w:ascii="Times New Roman" w:hAnsi="Times New Roman"/>
              <w:color w:val="ff0000"/>
              <w:sz w:val="24"/>
              <w:szCs w:val="24"/>
              <w:lang w:val="ru-RU" w:eastAsia="ru-RU"/>
            </w:rPr>
            <w:t xml:space="preserve"> 202</w:t>
          </w:r>
          <w:r>
            <w:rPr>
              <w:rFonts w:ascii="Times New Roman" w:hAnsi="Times New Roman"/>
              <w:color w:val="ff0000"/>
              <w:sz w:val="24"/>
              <w:szCs w:val="24"/>
              <w:lang w:val="ru-RU" w:eastAsia="ru-RU"/>
            </w:rPr>
            <w:t xml:space="preserve">6 г.</w:t>
          </w:r>
        </w:sdtContent>
      </w:sdt>
      <w:r>
        <w:rPr>
          <w:rFonts w:ascii="Times New Roman" w:hAnsi="Times New Roman"/>
          <w:bCs w:val="0"/>
          <w:color w:val="ff0000"/>
          <w:sz w:val="24"/>
          <w:szCs w:val="24"/>
          <w:lang w:val="ru-RU" w:eastAsia="ru-RU"/>
        </w:rPr>
      </w:r>
      <w:r>
        <w:rPr>
          <w:rFonts w:ascii="Times New Roman" w:hAnsi="Times New Roman"/>
          <w:bCs w:val="0"/>
          <w:color w:val="ff0000"/>
          <w:sz w:val="24"/>
          <w:szCs w:val="24"/>
          <w:lang w:val="ru-RU" w:eastAsia="ru-RU"/>
        </w:rPr>
      </w:r>
    </w:p>
    <w:p>
      <w:pPr>
        <w:pStyle w:val="964"/>
        <w:numPr>
          <w:ilvl w:val="0"/>
          <w:numId w:val="35"/>
        </w:numPr>
        <w:ind w:left="0" w:firstLine="567"/>
        <w:jc w:val="both"/>
        <w:keepNext w:val="0"/>
        <w:spacing w:before="0" w:after="0"/>
        <w:tabs>
          <w:tab w:val="left" w:pos="1276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 размещает их в ЕИС с указанием предмета запроса, но без указания участника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3 (три) рабочих дня до даты окончания срока подачи заявок на участие в такой закупке. </w:t>
      </w:r>
      <w:bookmarkEnd w:id="18"/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64"/>
        <w:numPr>
          <w:ilvl w:val="0"/>
          <w:numId w:val="35"/>
        </w:numPr>
        <w:ind w:left="0" w:firstLine="567"/>
        <w:jc w:val="both"/>
        <w:keepNext w:val="0"/>
        <w:spacing w:before="0" w:after="0"/>
        <w:tabs>
          <w:tab w:val="left" w:pos="1276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Разъяснения положений извещения о закупке не должны изменять предмет закупки и существенные условия проекта договора.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30"/>
        </w:numPr>
        <w:ind w:left="0" w:firstLine="567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внесения изменения в </w:t>
      </w:r>
      <w:r>
        <w:rPr>
          <w:b/>
          <w:sz w:val="24"/>
          <w:szCs w:val="24"/>
        </w:rPr>
        <w:t xml:space="preserve">извещение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 проведении </w:t>
      </w:r>
      <w:r>
        <w:rPr>
          <w:b/>
          <w:sz w:val="24"/>
          <w:szCs w:val="24"/>
        </w:rPr>
        <w:t xml:space="preserve">запроса цен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426" w:firstLine="0"/>
        <w:spacing w:line="240" w:lineRule="auto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16.1. </w:t>
      </w:r>
      <w:r>
        <w:rPr>
          <w:sz w:val="24"/>
          <w:szCs w:val="24"/>
        </w:rPr>
        <w:t xml:space="preserve">Изменения положений </w:t>
      </w:r>
      <w:r>
        <w:rPr>
          <w:sz w:val="24"/>
          <w:szCs w:val="24"/>
        </w:rPr>
        <w:t xml:space="preserve">Извещения</w:t>
      </w:r>
      <w:r>
        <w:rPr>
          <w:sz w:val="24"/>
          <w:szCs w:val="24"/>
        </w:rPr>
        <w:t xml:space="preserve"> размещаются Организатором закупки в </w:t>
      </w:r>
      <w:r>
        <w:rPr>
          <w:sz w:val="24"/>
          <w:szCs w:val="24"/>
        </w:rPr>
        <w:t xml:space="preserve">ЕИС</w:t>
      </w:r>
      <w:r>
        <w:rPr>
          <w:sz w:val="24"/>
          <w:szCs w:val="24"/>
        </w:rPr>
        <w:t xml:space="preserve"> (</w:t>
      </w:r>
      <w:hyperlink r:id="rId22" w:tooltip="http://zakupki.gov.ru" w:history="1">
        <w:r>
          <w:rPr>
            <w:rStyle w:val="989"/>
            <w:sz w:val="24"/>
            <w:szCs w:val="24"/>
          </w:rPr>
          <w:t xml:space="preserve">http://zakupki.gov.ru</w:t>
        </w:r>
      </w:hyperlink>
      <w:r>
        <w:rPr>
          <w:sz w:val="24"/>
          <w:szCs w:val="24"/>
        </w:rPr>
        <w:t xml:space="preserve">)</w:t>
      </w:r>
      <w:r>
        <w:rPr>
          <w:color w:val="0070c0"/>
          <w:sz w:val="24"/>
          <w:szCs w:val="24"/>
        </w:rPr>
        <w:t xml:space="preserve"> </w:t>
      </w:r>
      <w:r>
        <w:rPr>
          <w:sz w:val="24"/>
          <w:szCs w:val="24"/>
        </w:rPr>
        <w:t xml:space="preserve">и на ЭТП </w:t>
      </w:r>
      <w:sdt>
        <w:sdtPr>
          <w:alias w:val="Site"/>
          <w15:appearance w15:val="boundingBox"/>
          <w:id w:val="-1782869936"/>
          <w:placeholder>
            <w:docPart w:val="7C06FB0B30D04183975BF557DBA87E39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 электронной торговой площадке в сети Интернет </w:t>
      </w:r>
      <w:r>
        <w:rPr>
          <w:sz w:val="24"/>
          <w:szCs w:val="24"/>
        </w:rPr>
        <w:t xml:space="preserve">не позднее, чем в течение 3 (трех</w:t>
      </w:r>
      <w:r>
        <w:rPr>
          <w:sz w:val="24"/>
          <w:szCs w:val="24"/>
        </w:rPr>
        <w:t xml:space="preserve">) дней со дня принятия решения о внесении изменений, предоставления разъяснений. Все Участники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, официально получившие настоящ</w:t>
      </w:r>
      <w:r>
        <w:rPr>
          <w:sz w:val="24"/>
          <w:szCs w:val="24"/>
        </w:rPr>
        <w:t xml:space="preserve">ее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Извещение</w:t>
      </w:r>
      <w:r>
        <w:rPr>
          <w:sz w:val="24"/>
          <w:szCs w:val="24"/>
        </w:rPr>
        <w:t xml:space="preserve">, незамедлительно (автоматически) уведомляются о сути таких изменений при помощи функционала (сообщений) ЭТП </w:t>
      </w:r>
      <w:sdt>
        <w:sdtPr>
          <w:alias w:val="Site"/>
          <w15:appearance w15:val="boundingBox"/>
          <w:id w:val="1291088038"/>
          <w:placeholder>
            <w:docPart w:val="ACC61602C4D741C0A39F723076793FDC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rStyle w:val="989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30"/>
        </w:numPr>
        <w:ind w:left="0" w:firstLine="567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рассмотрения и оценки заявок участников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ind w:firstLine="709"/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before="0" w:line="240" w:lineRule="auto"/>
        <w:widowControl w:val="off"/>
        <w:tabs>
          <w:tab w:val="left" w:pos="1276" w:leader="none"/>
        </w:tabs>
        <w:rPr>
          <w:sz w:val="24"/>
          <w:szCs w:val="24"/>
        </w:rPr>
      </w:pPr>
      <w:r/>
      <w:bookmarkStart w:id="19" w:name="OLE_LINK19"/>
      <w:r>
        <w:rPr>
          <w:sz w:val="24"/>
          <w:szCs w:val="24"/>
        </w:rPr>
        <w:t xml:space="preserve">Рассмотрение и о</w:t>
      </w:r>
      <w:r>
        <w:rPr>
          <w:sz w:val="24"/>
          <w:szCs w:val="24"/>
        </w:rPr>
        <w:t xml:space="preserve">ценка </w:t>
      </w:r>
      <w:r>
        <w:rPr>
          <w:sz w:val="24"/>
          <w:szCs w:val="24"/>
        </w:rPr>
        <w:t xml:space="preserve">заявок</w:t>
      </w:r>
      <w:r>
        <w:rPr>
          <w:sz w:val="24"/>
          <w:szCs w:val="24"/>
        </w:rPr>
        <w:t xml:space="preserve"> участников</w:t>
      </w:r>
      <w:r>
        <w:rPr>
          <w:sz w:val="24"/>
          <w:szCs w:val="24"/>
        </w:rPr>
        <w:t xml:space="preserve">, поступивших для участия в </w:t>
      </w:r>
      <w:r>
        <w:rPr>
          <w:sz w:val="24"/>
          <w:szCs w:val="24"/>
        </w:rPr>
        <w:t xml:space="preserve">запросе цен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проводится в два этапа: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9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отборочный </w:t>
      </w:r>
      <w:r>
        <w:rPr>
          <w:i/>
          <w:sz w:val="24"/>
          <w:szCs w:val="24"/>
          <w:u w:val="single"/>
        </w:rPr>
      </w:r>
      <w:r>
        <w:rPr>
          <w:i/>
          <w:sz w:val="24"/>
          <w:szCs w:val="24"/>
          <w:u w:val="single"/>
        </w:rPr>
      </w:r>
    </w:p>
    <w:p>
      <w:pPr>
        <w:pStyle w:val="1017"/>
        <w:numPr>
          <w:ilvl w:val="0"/>
          <w:numId w:val="9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оценочный </w:t>
      </w:r>
      <w:r>
        <w:rPr>
          <w:i/>
          <w:sz w:val="24"/>
          <w:szCs w:val="24"/>
          <w:u w:val="single"/>
        </w:rPr>
      </w:r>
      <w:r>
        <w:rPr>
          <w:i/>
          <w:sz w:val="24"/>
          <w:szCs w:val="24"/>
          <w:u w:val="single"/>
        </w:rPr>
      </w:r>
    </w:p>
    <w:p>
      <w:pPr>
        <w:pStyle w:val="1017"/>
        <w:ind w:firstLine="709"/>
        <w:spacing w:before="0"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Отборочный этап</w:t>
      </w:r>
      <w:r>
        <w:rPr>
          <w:sz w:val="24"/>
          <w:szCs w:val="24"/>
        </w:rPr>
        <w:t xml:space="preserve"> включает в себя </w:t>
      </w:r>
      <w:r>
        <w:rPr>
          <w:sz w:val="24"/>
          <w:szCs w:val="24"/>
        </w:rPr>
        <w:t xml:space="preserve">рассмотрение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</w:t>
      </w:r>
      <w:r>
        <w:rPr>
          <w:sz w:val="24"/>
          <w:szCs w:val="24"/>
        </w:rPr>
        <w:t xml:space="preserve"> участников на соответствие </w:t>
      </w:r>
      <w:r>
        <w:rPr>
          <w:sz w:val="24"/>
          <w:szCs w:val="24"/>
        </w:rPr>
        <w:t xml:space="preserve">следу</w:t>
      </w:r>
      <w:r>
        <w:rPr>
          <w:sz w:val="24"/>
          <w:szCs w:val="24"/>
        </w:rPr>
        <w:t xml:space="preserve">ющим требованиям, установленным</w:t>
      </w:r>
      <w:r>
        <w:rPr>
          <w:sz w:val="24"/>
          <w:szCs w:val="24"/>
        </w:rPr>
        <w:t xml:space="preserve"> Заказчиком: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</w:t>
      </w:r>
      <w:r>
        <w:rPr>
          <w:sz w:val="24"/>
          <w:szCs w:val="24"/>
        </w:rPr>
        <w:t xml:space="preserve"> выполнения работ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предмет закупки;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согласие участника с условиями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соответствие предложения участника требованиям, установленным</w:t>
      </w:r>
      <w:r>
        <w:rPr>
          <w:sz w:val="24"/>
          <w:szCs w:val="24"/>
        </w:rPr>
        <w:t xml:space="preserve"> в извещении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.2. </w:t>
      </w:r>
      <w:r>
        <w:rPr>
          <w:sz w:val="24"/>
          <w:szCs w:val="24"/>
        </w:rPr>
        <w:t xml:space="preserve">Закупочная комиссия не рассматривает и отклоняет заявки участников, если они не соответствуют требованиям, установленным в извещении о проведении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, или предложенная цена превышает начальную (максимальную) цену, установленную в п.</w:t>
      </w:r>
      <w:r>
        <w:rPr>
          <w:sz w:val="24"/>
          <w:szCs w:val="24"/>
        </w:rPr>
        <w:t xml:space="preserve">9 </w:t>
      </w:r>
      <w:r>
        <w:rPr>
          <w:sz w:val="24"/>
          <w:szCs w:val="24"/>
        </w:rPr>
        <w:t xml:space="preserve">настоящего Извещения.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firstLine="567"/>
        <w:spacing w:before="0"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.3. На </w:t>
      </w:r>
      <w:r>
        <w:rPr>
          <w:b/>
          <w:sz w:val="24"/>
          <w:szCs w:val="24"/>
        </w:rPr>
        <w:t xml:space="preserve">оценочном этапе</w:t>
      </w:r>
      <w:r>
        <w:rPr>
          <w:sz w:val="24"/>
          <w:szCs w:val="24"/>
        </w:rPr>
        <w:t xml:space="preserve"> единственным критерием для определения Победителя является наименьшая цена предложения при условии соответствия предложения, условиям настоящего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Для целей оценки заявок по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еновому критерию применяются ценовые предложения участников без НДС.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firstLine="567"/>
        <w:spacing w:before="0"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результатам рассмотрения и оценки предложений участников составляется протокол, который подлежит публикации в </w:t>
      </w:r>
      <w:r>
        <w:rPr>
          <w:sz w:val="24"/>
          <w:szCs w:val="24"/>
        </w:rPr>
        <w:t xml:space="preserve">ЕИС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http://zakupki.gov.ru</w:t>
      </w:r>
      <w:r>
        <w:rPr>
          <w:sz w:val="24"/>
          <w:szCs w:val="24"/>
        </w:rPr>
        <w:t xml:space="preserve">) в срок, не позднее чем через три дня со дня подписания такого протокола.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2"/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ценовые предложения двух и более участников будут одинаковыми, победителем закупки признается участник, заявка на участие, в закупке которого поступила ранее других заявок.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dt>
      <w:sdtPr>
        <w:alias w:val="CheckingTextStart"/>
        <w15:appearance w15:val="boundingBox"/>
        <w:id w:val="-400063833"/>
        <w:placeholder>
          <w:docPart w:val="878C06AB86554DB489776823D490AC70"/>
        </w:placeholder>
        <w:showingPlcHdr w:val="true"/>
        <w:tag w:val="CheckingTextStart"/>
        <w:rPr>
          <w:rFonts w:ascii="Times New Roman" w:hAnsi="Times New Roman" w:cs="Times New Roman"/>
          <w:sz w:val="24"/>
          <w:szCs w:val="24"/>
        </w:rPr>
      </w:sdtPr>
      <w:sdtContent>
        <w:p>
          <w:pPr>
            <w:pStyle w:val="1042"/>
            <w:ind w:firstLine="567"/>
            <w:jc w:val="both"/>
            <w:widowControl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</w:sdtContent>
    </w:sdt>
    <w:p>
      <w:pPr>
        <w:pStyle w:val="1017"/>
        <w:numPr>
          <w:ilvl w:val="0"/>
          <w:numId w:val="30"/>
        </w:numPr>
        <w:ind w:left="0" w:firstLine="567"/>
        <w:spacing w:before="0" w:line="240" w:lineRule="auto"/>
        <w:widowControl w:val="off"/>
        <w:tabs>
          <w:tab w:val="left" w:pos="1134" w:leader="none"/>
        </w:tabs>
        <w:rPr>
          <w:vanish/>
          <w:sz w:val="24"/>
          <w:szCs w:val="24"/>
        </w:rPr>
      </w:pPr>
      <w:r>
        <w:rPr>
          <w:b/>
          <w:sz w:val="24"/>
          <w:szCs w:val="24"/>
        </w:rPr>
        <w:t xml:space="preserve">Порядок проведения переторжки </w:t>
      </w:r>
      <w:r>
        <w:rPr>
          <w:vanish/>
          <w:sz w:val="24"/>
          <w:szCs w:val="24"/>
        </w:rPr>
      </w:r>
      <w:r>
        <w:rPr>
          <w:vanish/>
          <w:sz w:val="24"/>
          <w:szCs w:val="24"/>
        </w:rPr>
      </w:r>
    </w:p>
    <w:p>
      <w:pPr>
        <w:pStyle w:val="1017"/>
        <w:numPr>
          <w:ilvl w:val="0"/>
          <w:numId w:val="33"/>
        </w:numPr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проведении запроса цен допускается проведение аукционной процедуры понижения цены – переторжки (форма проведения – очная).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line="240" w:lineRule="auto"/>
        <w:tabs>
          <w:tab w:val="left" w:pos="567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Закупочная комиссия устанавливает шаг переторжки –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,16</w:t>
      </w:r>
      <w:r>
        <w:rPr>
          <w:sz w:val="24"/>
          <w:szCs w:val="24"/>
        </w:rPr>
        <w:t xml:space="preserve"> % от начальной </w:t>
      </w:r>
      <w:r>
        <w:rPr>
          <w:sz w:val="24"/>
          <w:szCs w:val="24"/>
        </w:rPr>
        <w:t xml:space="preserve">(максимальной) цены </w:t>
      </w:r>
      <w:r>
        <w:rPr>
          <w:sz w:val="24"/>
          <w:szCs w:val="24"/>
        </w:rPr>
        <w:t xml:space="preserve">закупки</w:t>
      </w:r>
      <w:r>
        <w:rPr>
          <w:sz w:val="24"/>
          <w:szCs w:val="24"/>
        </w:rPr>
        <w:t xml:space="preserve"> с НДС.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Переторжка проводится после проверки соответствия заявок, установленным в настоящем Извещении требованиям в соответствии с Разделом «Порядок рассмотрения и оценки заявок участников».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 переторжку в обязательном порядке пригл</w:t>
      </w:r>
      <w:r>
        <w:rPr>
          <w:sz w:val="24"/>
          <w:szCs w:val="24"/>
        </w:rPr>
        <w:t xml:space="preserve">ашаются все участники, допущенные до участия в закупке после проведенного отборочного этапа. Уведомление о проведении переторжки направляется в адрес допущенных участников в разумный срок, достаточный для принятия решения об участии в процедуре переторжки.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 закупки, приглашенный на переторжку, вправе не участвовать в ней, тогда его предложение остается действующей с ранее объявленной ценой.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Процедура переторжки проводится в соответствии с регламентом работы электронной торговой площадки </w:t>
      </w:r>
      <w:sdt>
        <w:sdtPr>
          <w:alias w:val="Site"/>
          <w15:appearance w15:val="boundingBox"/>
          <w:label w:val="0"/>
          <w:lock w:val="unlocked"/>
          <w:placeholder>
            <w:docPart w:val="87ae557008eb47dd9113da05ecd3a42e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окончании переторж</w:t>
      </w:r>
      <w:r>
        <w:rPr>
          <w:sz w:val="24"/>
          <w:szCs w:val="24"/>
        </w:rPr>
        <w:t xml:space="preserve">ки оператором ЭТП произ</w:t>
      </w:r>
      <w:r>
        <w:rPr>
          <w:sz w:val="24"/>
          <w:szCs w:val="24"/>
        </w:rPr>
        <w:t xml:space="preserve">водится открытие доступа к  предложениям Участников на электронной торговой площадке ЭТП </w:t>
      </w:r>
      <w:sdt>
        <w:sdtPr>
          <w:alias w:val="Site"/>
          <w15:appearance w15:val="boundingBox"/>
          <w:label w:val="0"/>
          <w:lock w:val="unlocked"/>
          <w:placeholder>
            <w:docPart w:val="a88af47f55044a7b9395808dbc8854a8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Цена, полученная вышеуказанным образом в ходе переторжки, оформляется протоколом закупочной комиссии и будет считаться окончательным предложением цены для каждого Участника запроса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2"/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17"/>
        <w:numPr>
          <w:ilvl w:val="0"/>
          <w:numId w:val="33"/>
        </w:numPr>
        <w:ind w:left="0" w:firstLine="567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/>
      <w:bookmarkStart w:id="21" w:name="_Toc227658166"/>
      <w:r/>
      <w:bookmarkStart w:id="22" w:name="_Toc300840370"/>
      <w:r/>
      <w:bookmarkEnd w:id="2"/>
      <w:r/>
      <w:bookmarkEnd w:id="19"/>
      <w:r>
        <w:rPr>
          <w:b/>
          <w:sz w:val="24"/>
          <w:szCs w:val="24"/>
        </w:rPr>
        <w:t xml:space="preserve">Уведомление о результатах </w:t>
      </w:r>
      <w:r>
        <w:rPr>
          <w:b/>
          <w:sz w:val="24"/>
          <w:szCs w:val="24"/>
        </w:rPr>
        <w:t xml:space="preserve">запроса цен</w:t>
      </w:r>
      <w:r>
        <w:rPr>
          <w:b/>
          <w:sz w:val="24"/>
          <w:szCs w:val="24"/>
        </w:rPr>
        <w:t xml:space="preserve">. Порядок заключения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Организатор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незамедлительно после подписания Протокола по рассмотрению предложений и/или подведению итогов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, направит с использованием функционала ЭТП </w:t>
      </w:r>
      <w:sdt>
        <w:sdtPr>
          <w:alias w:val="Site"/>
          <w15:appearance w15:val="boundingBox"/>
          <w:id w:val="-1368362018"/>
          <w:placeholder>
            <w:docPart w:val="274FD4686E844948B838D7580A3F0E8E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всем Участникам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уведомление о результатах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по р</w:t>
      </w:r>
      <w:r>
        <w:rPr>
          <w:sz w:val="24"/>
          <w:szCs w:val="24"/>
        </w:rPr>
        <w:t xml:space="preserve">езультатам закупки заключается на условиях, которые предусмотрены проектом договора, извещением о закупке и заявкой победителя такой закупки, с которым заключается договор. По результатам закупки с участником может быть заключено также несколько договоров.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протокола. В случае </w:t>
      </w:r>
      <w:r>
        <w:rPr>
          <w:sz w:val="24"/>
          <w:szCs w:val="24"/>
        </w:rPr>
        <w:t xml:space="preserve">необходимости одобрения органом управления Заказчика в соответствии с законодательством Российской Феде</w:t>
      </w:r>
      <w:r>
        <w:rPr>
          <w:sz w:val="24"/>
          <w:szCs w:val="24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с использованием программно-аппаратных средств ЭП направляет проект договора в течение 2 (двух) рабочих дней с даты согласования проекта до</w:t>
      </w:r>
      <w:r>
        <w:rPr>
          <w:sz w:val="24"/>
          <w:szCs w:val="24"/>
        </w:rPr>
        <w:t xml:space="preserve">говора в соответствии с порядком, установленным внутренними организационно-распорядительными документами Заказчика, но не ранее чем через 10 дней с даты размещения в ЕИС итогового протокола по результатам закупки. Участник подписывает электронной подписью </w:t>
      </w:r>
      <w:r>
        <w:rPr>
          <w:sz w:val="24"/>
          <w:szCs w:val="24"/>
        </w:rPr>
        <w:t xml:space="preserve">проект договора в течение 3 (трех) рабочих дней со дня направления ему проекта договора Заказчиком. Заказчик подписывает электронной подписью проект договора в течение 3 (трех) рабочих дней со дня направления ему проекта договора, подписанного Участником. </w:t>
      </w:r>
      <w:r>
        <w:rPr>
          <w:b/>
          <w:sz w:val="24"/>
          <w:szCs w:val="24"/>
        </w:rPr>
        <w:t xml:space="preserve">По вопросам заключения договора обращаться к Заместителю начальника отдела правовой экспертизы 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 xml:space="preserve">ПАО «Россети Ленэнерго» Мусину Андрею Геннадьевичу, тел. (812) 494-33-68 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 xml:space="preserve">(моб.+7 (931) 593-48-38), e-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 </w:t>
      </w:r>
      <w:hyperlink r:id="rId23" w:tooltip="mailto:Musin.AG@lenenergo.ru" w:history="1">
        <w:r>
          <w:rPr>
            <w:b/>
            <w:sz w:val="24"/>
            <w:szCs w:val="24"/>
          </w:rPr>
          <w:t xml:space="preserve">Musin.AG@lenenergo.ru</w:t>
        </w:r>
      </w:hyperlink>
      <w:r>
        <w:rPr>
          <w:b/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33"/>
        </w:numPr>
        <w:spacing w:line="240" w:lineRule="auto"/>
        <w:tabs>
          <w:tab w:val="left" w:pos="540" w:leader="none"/>
          <w:tab w:val="left" w:pos="567" w:leader="none"/>
        </w:tabs>
        <w:rPr>
          <w:b/>
          <w:sz w:val="24"/>
          <w:szCs w:val="24"/>
        </w:rPr>
      </w:pPr>
      <w:r/>
      <w:bookmarkStart w:id="23" w:name="_Toc123405466"/>
      <w:r/>
      <w:bookmarkStart w:id="24" w:name="_Toc517123"/>
      <w:r>
        <w:rPr>
          <w:b/>
          <w:sz w:val="24"/>
          <w:szCs w:val="24"/>
        </w:rPr>
        <w:t xml:space="preserve">Отмена </w:t>
      </w:r>
      <w:bookmarkEnd w:id="23"/>
      <w:r>
        <w:rPr>
          <w:b/>
          <w:sz w:val="24"/>
          <w:szCs w:val="24"/>
        </w:rPr>
        <w:t xml:space="preserve">закупки</w:t>
      </w:r>
      <w:bookmarkEnd w:id="24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Решение об отмене закупки размещается Заказчиком в ЕИС в день принятия этого решения.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1"/>
          <w:numId w:val="33"/>
        </w:numPr>
        <w:ind w:left="0"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  <w:t xml:space="preserve">Приложение №1 – </w:t>
      </w: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См. файл под названием «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№2 – Проект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См. файл под названием «Проект Договора»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End w:id="21"/>
      <w:r/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2"/>
        <w:ind w:left="142" w:firstLine="0"/>
        <w:jc w:val="center"/>
        <w:keepLines w:val="0"/>
        <w:keepNext w:val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Приложение №</w:t>
      </w:r>
      <w:r>
        <w:rPr>
          <w:rFonts w:ascii="Times New Roman" w:hAnsi="Times New Roman"/>
          <w:sz w:val="24"/>
          <w:szCs w:val="24"/>
          <w:lang w:val="ru-RU"/>
        </w:rPr>
        <w:t xml:space="preserve">3</w:t>
      </w:r>
      <w:r>
        <w:rPr>
          <w:rFonts w:ascii="Times New Roman" w:hAnsi="Times New Roman"/>
          <w:sz w:val="24"/>
          <w:szCs w:val="24"/>
          <w:lang w:val="ru-RU"/>
        </w:rPr>
        <w:t xml:space="preserve"> – Заявка на участие в запросе цен в электронной форме (сроки выполнения работ)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(</w:t>
      </w:r>
      <w:r>
        <w:rPr>
          <w:sz w:val="24"/>
          <w:szCs w:val="24"/>
          <w:highlight w:val="yellow"/>
        </w:rPr>
        <w:t xml:space="preserve">подается участником в поле «</w:t>
      </w:r>
      <w:r>
        <w:rPr>
          <w:sz w:val="24"/>
          <w:szCs w:val="24"/>
          <w:highlight w:val="yellow"/>
        </w:rPr>
        <w:t xml:space="preserve">Основная часть</w:t>
      </w:r>
      <w:r>
        <w:rPr>
          <w:sz w:val="24"/>
          <w:szCs w:val="24"/>
          <w:highlight w:val="yellow"/>
        </w:rPr>
        <w:t xml:space="preserve">»</w:t>
      </w:r>
      <w:r>
        <w:rPr>
          <w:sz w:val="24"/>
          <w:szCs w:val="24"/>
          <w:highlight w:val="yellow"/>
        </w:rPr>
        <w:t xml:space="preserve">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«____</w:t>
      </w:r>
      <w:r>
        <w:rPr>
          <w:sz w:val="24"/>
          <w:szCs w:val="24"/>
        </w:rPr>
        <w:t xml:space="preserve">_»_</w:t>
      </w:r>
      <w:r>
        <w:rPr>
          <w:sz w:val="24"/>
          <w:szCs w:val="24"/>
        </w:rPr>
        <w:t xml:space="preserve">_________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 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№________________________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Получив запрос цен № [</w:t>
      </w:r>
      <w:r>
        <w:rPr>
          <w:rStyle w:val="1014"/>
          <w:sz w:val="24"/>
          <w:szCs w:val="24"/>
        </w:rPr>
        <w:t xml:space="preserve">__</w:t>
      </w:r>
      <w:r>
        <w:rPr>
          <w:sz w:val="24"/>
          <w:szCs w:val="24"/>
        </w:rPr>
        <w:t xml:space="preserve">] </w:t>
      </w:r>
      <w:r>
        <w:rPr>
          <w:sz w:val="24"/>
          <w:szCs w:val="24"/>
        </w:rPr>
        <w:t xml:space="preserve">от  [</w:t>
      </w:r>
      <w:r>
        <w:rPr>
          <w:rStyle w:val="1014"/>
          <w:sz w:val="24"/>
          <w:szCs w:val="24"/>
        </w:rPr>
        <w:t xml:space="preserve">указывается дата за</w:t>
      </w:r>
      <w:r>
        <w:rPr>
          <w:rStyle w:val="1014"/>
          <w:sz w:val="24"/>
          <w:szCs w:val="24"/>
        </w:rPr>
        <w:t xml:space="preserve">проса </w:t>
      </w:r>
      <w:r>
        <w:rPr>
          <w:rStyle w:val="1014"/>
          <w:sz w:val="24"/>
          <w:szCs w:val="24"/>
        </w:rPr>
        <w:t xml:space="preserve">цен</w:t>
      </w:r>
      <w:r>
        <w:rPr>
          <w:sz w:val="24"/>
          <w:szCs w:val="24"/>
        </w:rPr>
        <w:t xml:space="preserve">],_______________________________________________________</w:t>
      </w:r>
      <w:r>
        <w:rPr>
          <w:sz w:val="24"/>
          <w:szCs w:val="24"/>
        </w:rPr>
        <w:t xml:space="preserve">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______________________________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  <w:t xml:space="preserve">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(полное наименование Участника с указанием организационно-правовой формы)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зарегистрированное по адресу: </w:t>
      </w:r>
      <w:r>
        <w:rPr>
          <w:sz w:val="24"/>
          <w:szCs w:val="24"/>
        </w:rPr>
        <w:t xml:space="preserve">________________________</w:t>
      </w:r>
      <w:r>
        <w:rPr>
          <w:sz w:val="24"/>
          <w:szCs w:val="24"/>
        </w:rPr>
        <w:t xml:space="preserve">__________________</w:t>
      </w:r>
      <w:r>
        <w:rPr>
          <w:sz w:val="24"/>
          <w:szCs w:val="24"/>
        </w:rPr>
        <w:t xml:space="preserve">________</w:t>
      </w:r>
      <w:r>
        <w:rPr>
          <w:sz w:val="24"/>
          <w:szCs w:val="24"/>
        </w:rPr>
        <w:t xml:space="preserve">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(юридический адрес Участника)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left="142"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предлагает </w:t>
      </w:r>
      <w:r>
        <w:rPr>
          <w:b/>
          <w:sz w:val="24"/>
          <w:szCs w:val="24"/>
        </w:rPr>
        <w:t xml:space="preserve">заключить Договор на выполнение следующих работ: ______________________________________________________________________________________________________________________________________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422"/>
        <w:gridCol w:w="2551"/>
        <w:gridCol w:w="2693"/>
      </w:tblGrid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9"/>
              <w:ind w:left="142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999"/>
              <w:ind w:left="142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002"/>
              <w:ind w:left="142" w:right="0"/>
              <w:jc w:val="center"/>
            </w:pPr>
            <w:r>
              <w:t xml:space="preserve">Срок начала выполнения работ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99"/>
              <w:ind w:left="142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окончания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97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1002"/>
              <w:ind w:left="142" w:right="0"/>
              <w:widowControl w:val="off"/>
              <w:rPr>
                <w:rStyle w:val="1014"/>
                <w:i w:val="0"/>
              </w:rPr>
            </w:pPr>
            <w:r>
              <w:rPr>
                <w:b/>
              </w:rPr>
              <w:t xml:space="preserve">лот №1 - </w:t>
            </w:r>
            <w:r>
              <w:t xml:space="preserve">[</w:t>
            </w:r>
            <w:r>
              <w:rPr>
                <w:rStyle w:val="1014"/>
              </w:rPr>
              <w:t xml:space="preserve">указывается наименование лота</w:t>
            </w:r>
            <w:r>
              <w:t xml:space="preserve">]</w:t>
            </w:r>
            <w:r>
              <w:rPr>
                <w:rStyle w:val="1014"/>
                <w:i w:val="0"/>
              </w:rPr>
            </w:r>
            <w:r>
              <w:rPr>
                <w:rStyle w:val="1014"/>
                <w:i w:val="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002"/>
              <w:ind w:left="142" w:right="0"/>
              <w:widowControl w:val="off"/>
            </w:pPr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02"/>
              <w:ind w:left="142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2"/>
              <w:ind w:left="142" w:right="0"/>
              <w:widowControl w:val="off"/>
            </w:pPr>
            <w:r/>
            <w:r/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1002"/>
              <w:ind w:left="142" w:right="0"/>
              <w:widowControl w:val="off"/>
            </w:pP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002"/>
              <w:ind w:left="142" w:right="0"/>
              <w:widowControl w:val="off"/>
            </w:pPr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02"/>
              <w:ind w:left="142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2"/>
              <w:ind w:left="142" w:right="0"/>
              <w:widowControl w:val="off"/>
            </w:pPr>
            <w:r/>
            <w:r/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1002"/>
              <w:ind w:left="142" w:right="0"/>
              <w:widowControl w:val="off"/>
            </w:pP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002"/>
              <w:ind w:left="142" w:right="0"/>
              <w:widowControl w:val="off"/>
            </w:pPr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02"/>
              <w:ind w:left="142" w:right="0"/>
              <w:widowControl w:val="off"/>
            </w:pPr>
            <w:r/>
            <w:r/>
          </w:p>
        </w:tc>
      </w:tr>
    </w:tbl>
    <w:p>
      <w:pPr>
        <w:ind w:left="142" w:firstLine="0"/>
        <w:spacing w:before="120" w:line="24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проектом договора, являющимся приложением к Извещению о проведении запроса цен, ознакомлены и согласны.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tabs>
          <w:tab w:val="left" w:pos="284" w:leader="none"/>
          <w:tab w:val="num" w:pos="502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42"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Данное предложение имеет статус оферты и действительно в течение 60 (шестидесяти) календарных дней со дня его подачи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Приложения: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Доверенность от «__» _____ __г. № 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………………………………………………….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142"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 уважением,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(должность ответственного лица Участника)</w:t>
            </w: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(подпись, расшифровка подписи)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(печать Участника)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основании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Доверенности от «__» _____ __г. № 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(Приложение №1 к настоящей Оферте)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center"/>
        <w:spacing w:line="240" w:lineRule="auto"/>
        <w:shd w:val="clear" w:color="auto" w:fill="e0e0e0"/>
        <w:rPr>
          <w:b/>
          <w:color w:val="000000"/>
          <w:spacing w:val="36"/>
          <w:sz w:val="24"/>
          <w:szCs w:val="24"/>
        </w:rPr>
        <w:pBdr>
          <w:bottom w:val="single" w:color="000000" w:sz="4" w:space="1"/>
        </w:pBdr>
      </w:pPr>
      <w:r>
        <w:rPr>
          <w:b/>
          <w:color w:val="000000"/>
          <w:spacing w:val="36"/>
          <w:sz w:val="24"/>
          <w:szCs w:val="24"/>
        </w:rPr>
        <w:t xml:space="preserve">конец формы</w:t>
      </w:r>
      <w:r>
        <w:rPr>
          <w:b/>
          <w:color w:val="000000"/>
          <w:spacing w:val="36"/>
          <w:sz w:val="24"/>
          <w:szCs w:val="24"/>
        </w:rPr>
      </w:r>
      <w:r>
        <w:rPr>
          <w:b/>
          <w:color w:val="000000"/>
          <w:spacing w:val="36"/>
          <w:sz w:val="24"/>
          <w:szCs w:val="24"/>
        </w:rPr>
      </w:r>
    </w:p>
    <w:p>
      <w:pPr>
        <w:pStyle w:val="1012"/>
        <w:numPr>
          <w:ilvl w:val="3"/>
          <w:numId w:val="2"/>
        </w:numPr>
        <w:ind w:left="0" w:firstLine="0"/>
        <w:spacing w:before="120" w:line="240" w:lineRule="auto"/>
        <w:tabs>
          <w:tab w:val="clear" w:pos="360" w:leader="none"/>
          <w:tab w:val="num" w:pos="1134" w:leader="none"/>
        </w:tabs>
        <w:rPr>
          <w:rStyle w:val="1013"/>
          <w:b/>
          <w:sz w:val="24"/>
          <w:szCs w:val="24"/>
        </w:rPr>
        <w:sectPr>
          <w:headerReference w:type="default" r:id="rId10"/>
          <w:headerReference w:type="first" r:id="rId11"/>
          <w:footnotePr/>
          <w:endnotePr/>
          <w:type w:val="nextPage"/>
          <w:pgSz w:w="11906" w:h="16838" w:orient="portrait"/>
          <w:pgMar w:top="709" w:right="992" w:bottom="680" w:left="993" w:header="720" w:footer="811" w:gutter="0"/>
          <w:cols w:num="1" w:sep="0" w:space="708" w:equalWidth="1"/>
          <w:docGrid w:linePitch="360"/>
          <w:titlePg/>
        </w:sectPr>
      </w:pPr>
      <w:r>
        <w:rPr>
          <w:b/>
          <w:sz w:val="24"/>
          <w:szCs w:val="24"/>
        </w:rPr>
      </w:r>
      <w:r>
        <w:rPr>
          <w:rStyle w:val="1013"/>
          <w:b/>
          <w:sz w:val="24"/>
          <w:szCs w:val="24"/>
        </w:rPr>
      </w:r>
      <w:r>
        <w:rPr>
          <w:rStyle w:val="1013"/>
          <w:b/>
          <w:sz w:val="24"/>
          <w:szCs w:val="24"/>
        </w:rPr>
      </w:r>
    </w:p>
    <w:p>
      <w:pPr>
        <w:pStyle w:val="1012"/>
        <w:numPr>
          <w:ilvl w:val="0"/>
          <w:numId w:val="0"/>
        </w:numPr>
        <w:ind w:left="-709"/>
        <w:spacing w:before="120" w:line="240" w:lineRule="auto"/>
        <w:rPr>
          <w:b/>
          <w:sz w:val="22"/>
          <w:szCs w:val="22"/>
        </w:rPr>
      </w:pPr>
      <w:r>
        <w:rPr>
          <w:rStyle w:val="1013"/>
          <w:b/>
          <w:sz w:val="22"/>
          <w:szCs w:val="22"/>
        </w:rPr>
        <w:t xml:space="preserve">Инструкции по заполнению: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-709" w:firstLine="0"/>
        <w:spacing w:line="24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1. Заявку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r>
        <w:rPr>
          <w:i/>
          <w:iCs/>
          <w:sz w:val="22"/>
          <w:szCs w:val="22"/>
        </w:rPr>
      </w:r>
      <w:r>
        <w:rPr>
          <w:i/>
          <w:iCs/>
          <w:sz w:val="22"/>
          <w:szCs w:val="22"/>
        </w:rPr>
      </w:r>
    </w:p>
    <w:p>
      <w:pPr>
        <w:ind w:left="-709" w:firstLine="0"/>
        <w:spacing w:line="24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2. Участник должен указать свое полное наименование (с указанием организационно-правовой формы) и юридический адрес.</w:t>
      </w:r>
      <w:r>
        <w:rPr>
          <w:i/>
          <w:iCs/>
          <w:sz w:val="22"/>
          <w:szCs w:val="22"/>
        </w:rPr>
      </w:r>
      <w:r>
        <w:rPr>
          <w:i/>
          <w:iCs/>
          <w:sz w:val="22"/>
          <w:szCs w:val="22"/>
        </w:rPr>
      </w:r>
    </w:p>
    <w:p>
      <w:pPr>
        <w:ind w:left="-709" w:firstLine="0"/>
        <w:spacing w:line="24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3. Все пункты, указанные в этой форме, являются обязательными для заполнения Участником.</w:t>
      </w:r>
      <w:r>
        <w:rPr>
          <w:i/>
          <w:iCs/>
          <w:sz w:val="22"/>
          <w:szCs w:val="22"/>
        </w:rPr>
      </w:r>
      <w:r>
        <w:rPr>
          <w:i/>
          <w:iCs/>
          <w:sz w:val="22"/>
          <w:szCs w:val="22"/>
        </w:rPr>
      </w:r>
    </w:p>
    <w:p>
      <w:pPr>
        <w:ind w:left="-709" w:firstLine="0"/>
        <w:spacing w:line="24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4. Все данные, указанные в круглых скобках и/или курсивом приведены в качестве пояснения (образца) Участникам.</w:t>
      </w:r>
      <w:r>
        <w:rPr>
          <w:i/>
          <w:iCs/>
          <w:sz w:val="22"/>
          <w:szCs w:val="22"/>
        </w:rPr>
      </w:r>
      <w:r>
        <w:rPr>
          <w:i/>
          <w:iCs/>
          <w:sz w:val="22"/>
          <w:szCs w:val="22"/>
        </w:rPr>
      </w:r>
    </w:p>
    <w:p>
      <w:pPr>
        <w:ind w:left="-709" w:firstLine="0"/>
        <w:spacing w:line="24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5</w:t>
      </w:r>
      <w:r>
        <w:rPr>
          <w:i/>
          <w:iCs/>
          <w:sz w:val="22"/>
          <w:szCs w:val="22"/>
        </w:rPr>
        <w:t xml:space="preserve">. Оф</w:t>
      </w:r>
      <w:r>
        <w:rPr>
          <w:i/>
          <w:iCs/>
          <w:sz w:val="22"/>
          <w:szCs w:val="22"/>
        </w:rPr>
        <w:t xml:space="preserve">ерта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</w:t>
      </w:r>
      <w:r>
        <w:rPr>
          <w:i/>
          <w:iCs/>
          <w:sz w:val="22"/>
          <w:szCs w:val="22"/>
        </w:rPr>
      </w:r>
      <w:r>
        <w:rPr>
          <w:i/>
          <w:iCs/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i/>
          <w:iCs/>
          <w:sz w:val="22"/>
          <w:szCs w:val="22"/>
          <w:highlight w:val="yellow"/>
        </w:rPr>
        <w:t xml:space="preserve">6. </w:t>
      </w:r>
      <w:r>
        <w:rPr>
          <w:i/>
          <w:iCs/>
          <w:sz w:val="22"/>
          <w:szCs w:val="22"/>
          <w:highlight w:val="yellow"/>
        </w:rPr>
        <w:t xml:space="preserve">Ценовое предложение участника закупки не подлежит указанию в приложении №3. Сведения и документы, включающие в себя информацию о цене заявки участника закупки, долж</w:t>
      </w:r>
      <w:r>
        <w:rPr>
          <w:i/>
          <w:iCs/>
          <w:sz w:val="22"/>
          <w:szCs w:val="22"/>
          <w:highlight w:val="yellow"/>
        </w:rPr>
        <w:t xml:space="preserve">н</w:t>
      </w:r>
      <w:r>
        <w:rPr>
          <w:i/>
          <w:iCs/>
          <w:sz w:val="22"/>
          <w:szCs w:val="22"/>
          <w:highlight w:val="yellow"/>
        </w:rPr>
        <w:t xml:space="preserve">ы быть включены в приложение №4</w:t>
      </w:r>
      <w:r>
        <w:rPr>
          <w:i/>
          <w:iCs/>
          <w:sz w:val="22"/>
          <w:szCs w:val="22"/>
          <w:highlight w:val="yellow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  <w:t xml:space="preserve">Приложение №4</w:t>
      </w:r>
      <w:r>
        <w:rPr>
          <w:b/>
          <w:sz w:val="24"/>
          <w:szCs w:val="24"/>
        </w:rPr>
        <w:t xml:space="preserve"> – Заявка на участие в запросе цен в электронной форме (ценовое предложение)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(</w:t>
      </w:r>
      <w:r>
        <w:rPr>
          <w:sz w:val="24"/>
          <w:szCs w:val="24"/>
          <w:highlight w:val="yellow"/>
        </w:rPr>
        <w:t xml:space="preserve">подается участником в поле «</w:t>
      </w:r>
      <w:r>
        <w:rPr>
          <w:sz w:val="24"/>
          <w:szCs w:val="24"/>
          <w:highlight w:val="yellow"/>
        </w:rPr>
        <w:t xml:space="preserve">Коммерческая часть</w:t>
      </w:r>
      <w:r>
        <w:rPr>
          <w:sz w:val="24"/>
          <w:szCs w:val="24"/>
          <w:highlight w:val="yellow"/>
        </w:rPr>
        <w:t xml:space="preserve">»</w:t>
      </w:r>
      <w:r>
        <w:rPr>
          <w:sz w:val="24"/>
          <w:szCs w:val="24"/>
          <w:highlight w:val="yellow"/>
        </w:rPr>
        <w:t xml:space="preserve">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«____</w:t>
      </w:r>
      <w:r>
        <w:rPr>
          <w:sz w:val="24"/>
          <w:szCs w:val="24"/>
        </w:rPr>
        <w:t xml:space="preserve">_»_</w:t>
      </w:r>
      <w:r>
        <w:rPr>
          <w:sz w:val="24"/>
          <w:szCs w:val="24"/>
        </w:rPr>
        <w:t xml:space="preserve">_________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 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№________________________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Получив запрос цен № [</w:t>
      </w:r>
      <w:r>
        <w:rPr>
          <w:rStyle w:val="1014"/>
          <w:sz w:val="24"/>
          <w:szCs w:val="24"/>
        </w:rPr>
        <w:t xml:space="preserve">__</w:t>
      </w:r>
      <w:r>
        <w:rPr>
          <w:sz w:val="24"/>
          <w:szCs w:val="24"/>
        </w:rPr>
        <w:t xml:space="preserve">] </w:t>
      </w:r>
      <w:r>
        <w:rPr>
          <w:sz w:val="24"/>
          <w:szCs w:val="24"/>
        </w:rPr>
        <w:t xml:space="preserve">от  [</w:t>
      </w:r>
      <w:r>
        <w:rPr>
          <w:rStyle w:val="1014"/>
          <w:sz w:val="24"/>
          <w:szCs w:val="24"/>
        </w:rPr>
        <w:t xml:space="preserve">указывается дата запроса цен</w:t>
      </w:r>
      <w:r>
        <w:rPr>
          <w:sz w:val="24"/>
          <w:szCs w:val="24"/>
        </w:rPr>
        <w:t xml:space="preserve">],________________________________________________________________________________________________________________________________________________________________________________________________________________,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(полное наименование Участника с указанием организационно-правовой формы)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зарегистрированное по адресу: __________________________________________________________________________________________________________,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(юридический адрес Участника)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firstLine="0"/>
        <w:jc w:val="left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предлагает </w:t>
      </w:r>
      <w:r>
        <w:rPr>
          <w:b/>
          <w:sz w:val="24"/>
          <w:szCs w:val="24"/>
        </w:rPr>
        <w:t xml:space="preserve">заключить Договор на выполнение следующих работ: ______________________________________________________________________________________________________________________________________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126"/>
        <w:gridCol w:w="1984"/>
        <w:gridCol w:w="2268"/>
      </w:tblGrid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9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999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999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Цена, руб. без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999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НДС*,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999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97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  <w:rPr>
                <w:rStyle w:val="1014"/>
                <w:i w:val="0"/>
              </w:rPr>
            </w:pPr>
            <w:r>
              <w:rPr>
                <w:b/>
              </w:rPr>
              <w:t xml:space="preserve">лот №1 - </w:t>
            </w:r>
            <w:r>
              <w:t xml:space="preserve">[</w:t>
            </w:r>
            <w:r>
              <w:rPr>
                <w:rStyle w:val="1014"/>
              </w:rPr>
              <w:t xml:space="preserve">указывается наименование лота</w:t>
            </w:r>
            <w:r>
              <w:t xml:space="preserve">]</w:t>
            </w:r>
            <w:r>
              <w:rPr>
                <w:rStyle w:val="1014"/>
                <w:i w:val="0"/>
              </w:rPr>
            </w:r>
            <w:r>
              <w:rPr>
                <w:rStyle w:val="1014"/>
                <w:i w:val="0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>
              <w:t xml:space="preserve">           </w:t>
            </w:r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>
              <w:t xml:space="preserve">           </w:t>
            </w:r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1002"/>
              <w:ind w:left="0" w:right="0"/>
              <w:widowControl w:val="off"/>
            </w:pPr>
            <w:r/>
            <w:r/>
          </w:p>
        </w:tc>
      </w:tr>
    </w:tbl>
    <w:p>
      <w:pPr>
        <w:ind w:left="142" w:firstLine="0"/>
        <w:spacing w:before="120" w:line="240" w:lineRule="auto"/>
        <w:tabs>
          <w:tab w:val="left" w:pos="1440" w:leader="none"/>
        </w:tabs>
        <w:rPr>
          <w:bCs/>
          <w:i/>
          <w:color w:val="ff0000"/>
          <w:sz w:val="18"/>
          <w:szCs w:val="18"/>
        </w:rPr>
      </w:pPr>
      <w:r>
        <w:rPr>
          <w:bCs/>
          <w:i/>
          <w:color w:val="ff0000"/>
          <w:sz w:val="18"/>
          <w:szCs w:val="18"/>
        </w:rPr>
        <w:t xml:space="preserve">*- Необходимо указать </w:t>
      </w:r>
      <w:r>
        <w:rPr>
          <w:bCs/>
          <w:i/>
          <w:color w:val="ff0000"/>
          <w:sz w:val="18"/>
          <w:szCs w:val="18"/>
        </w:rPr>
        <w:t xml:space="preserve">налоговую </w:t>
      </w:r>
      <w:r>
        <w:rPr>
          <w:bCs/>
          <w:i/>
          <w:color w:val="ff0000"/>
          <w:sz w:val="18"/>
          <w:szCs w:val="18"/>
        </w:rPr>
        <w:t xml:space="preserve">ставку НДС </w:t>
      </w:r>
      <w:r>
        <w:rPr>
          <w:bCs/>
          <w:i/>
          <w:color w:val="ff0000"/>
          <w:sz w:val="18"/>
          <w:szCs w:val="18"/>
        </w:rPr>
        <w:t xml:space="preserve">в случае применения</w:t>
      </w:r>
      <w:r>
        <w:rPr>
          <w:bCs/>
          <w:i/>
          <w:color w:val="ff0000"/>
          <w:sz w:val="18"/>
          <w:szCs w:val="18"/>
        </w:rPr>
        <w:t xml:space="preserve"> участником закупки </w:t>
      </w:r>
      <w:r>
        <w:rPr>
          <w:bCs/>
          <w:i/>
          <w:color w:val="ff0000"/>
          <w:sz w:val="18"/>
          <w:szCs w:val="18"/>
        </w:rPr>
        <w:t xml:space="preserve">УСН, в</w:t>
      </w:r>
      <w:r>
        <w:rPr>
          <w:bCs/>
          <w:i/>
          <w:color w:val="ff0000"/>
          <w:sz w:val="18"/>
          <w:szCs w:val="18"/>
        </w:rPr>
        <w:t xml:space="preserve"> соответствии с Федеральным законом от 12.07.2024 N 176-ФЗ (ред. от 12.12.2024) "О внесении изменен</w:t>
      </w:r>
      <w:r>
        <w:rPr>
          <w:bCs/>
          <w:i/>
          <w:color w:val="ff0000"/>
          <w:sz w:val="18"/>
          <w:szCs w:val="18"/>
        </w:rPr>
        <w:t xml:space="preserve">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 (с изм. и доп., вступ. в силу с 01.01.2025)</w:t>
      </w:r>
      <w:r>
        <w:rPr>
          <w:bCs/>
          <w:i/>
          <w:color w:val="ff0000"/>
          <w:sz w:val="18"/>
          <w:szCs w:val="18"/>
        </w:rPr>
        <w:t xml:space="preserve">.</w:t>
      </w:r>
      <w:r>
        <w:rPr>
          <w:bCs/>
          <w:i/>
          <w:color w:val="ff0000"/>
          <w:sz w:val="18"/>
          <w:szCs w:val="18"/>
        </w:rPr>
      </w:r>
      <w:r>
        <w:rPr>
          <w:bCs/>
          <w:i/>
          <w:color w:val="ff0000"/>
          <w:sz w:val="18"/>
          <w:szCs w:val="18"/>
        </w:rPr>
      </w:r>
    </w:p>
    <w:p>
      <w:pPr>
        <w:ind w:left="142" w:firstLine="0"/>
        <w:spacing w:before="120" w:line="240" w:lineRule="auto"/>
        <w:tabs>
          <w:tab w:val="left" w:pos="1440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0"/>
        <w:spacing w:before="120" w:line="24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цену работ включены все расходы, связанные с выполнением обязательств по договору(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), в том числе налоги, сборы и иные обязательные платежи.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before="120" w:line="24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проектом договора, являющимся приложением к Извещению о проведении запроса цен, ознакомлены и согласны.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  <w:tab w:val="num" w:pos="502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Данное предложение подается с пониманием и согласием на то, что: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9"/>
        <w:numPr>
          <w:ilvl w:val="0"/>
          <w:numId w:val="12"/>
        </w:numPr>
        <w:contextualSpacing w:val="0"/>
        <w:ind w:left="0"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не отвечает и не имеет обязательств по нашим расходам, связанным с подготовкой и подачей данного предложения за исключением случаев, прямо оговоренных в законодательстве РФ;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9"/>
        <w:numPr>
          <w:ilvl w:val="0"/>
          <w:numId w:val="0"/>
        </w:numPr>
        <w:contextualSpacing w:val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Мы обязуемся в случае признания нас победителем: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подписать со своей стороны проект Договора по перечню лотов, представленных в таблице выше, в срок, не превышающий 20 (двадцать) календарных дней со дня размещения протокола итогов в </w:t>
      </w:r>
      <w:r>
        <w:rPr>
          <w:sz w:val="24"/>
          <w:szCs w:val="24"/>
        </w:rPr>
        <w:t xml:space="preserve">ЕИС</w:t>
      </w:r>
      <w:r>
        <w:rPr>
          <w:sz w:val="24"/>
          <w:szCs w:val="24"/>
        </w:rPr>
        <w:t xml:space="preserve"> (http://zakupki.gov.ru);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spacing w:line="240" w:lineRule="auto"/>
        <w:widowControl w:val="off"/>
        <w:tabs>
          <w:tab w:val="left" w:pos="-2410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 </w:t>
      </w:r>
      <w:r>
        <w:rPr>
          <w:i/>
          <w:sz w:val="24"/>
          <w:szCs w:val="24"/>
        </w:rPr>
        <w:t xml:space="preserve">_________________________ </w:t>
      </w:r>
      <w:r>
        <w:rPr>
          <w:i/>
          <w:sz w:val="24"/>
          <w:szCs w:val="24"/>
        </w:rPr>
        <w:t xml:space="preserve">(Должность, Ф.И.О., телефон представителя)___________________________________.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сведения о проведении запроса цен просим сообщать уполномоченному лицу.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Данное предложение имеет статус оферты и действительно в течение 60 (шестидесяти) календарных дней со дня его подачи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Приложения: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Доверенность от «__» _____ __г. № 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………………………………………………….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 уважением,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(должность ответственного лица Участника)</w:t>
            </w: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(подпись, расшифровка подписи)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(печать Участника)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основании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Доверенности от «__» _____ __г. № 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(Приложение №1 к настоящей Оферте)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center"/>
        <w:spacing w:line="240" w:lineRule="auto"/>
        <w:shd w:val="clear" w:color="auto" w:fill="e0e0e0"/>
        <w:rPr>
          <w:b/>
          <w:color w:val="000000"/>
          <w:spacing w:val="36"/>
          <w:sz w:val="24"/>
          <w:szCs w:val="24"/>
        </w:rPr>
        <w:pBdr>
          <w:bottom w:val="single" w:color="000000" w:sz="4" w:space="1"/>
        </w:pBdr>
        <w:sectPr>
          <w:headerReference w:type="default" r:id="rId12"/>
          <w:headerReference w:type="first" r:id="rId13"/>
          <w:footnotePr/>
          <w:endnotePr/>
          <w:type w:val="nextPage"/>
          <w:pgSz w:w="11906" w:h="16838" w:orient="portrait"/>
          <w:pgMar w:top="1276" w:right="709" w:bottom="1134" w:left="1701" w:header="720" w:footer="720" w:gutter="0"/>
          <w:cols w:num="1" w:sep="0" w:space="708" w:equalWidth="1"/>
          <w:docGrid w:linePitch="360"/>
          <w:titlePg/>
        </w:sectPr>
      </w:pPr>
      <w:r>
        <w:rPr>
          <w:b/>
          <w:color w:val="000000"/>
          <w:spacing w:val="36"/>
          <w:sz w:val="24"/>
          <w:szCs w:val="24"/>
        </w:rPr>
        <w:t xml:space="preserve">конец формы</w:t>
      </w:r>
      <w:r>
        <w:rPr>
          <w:b/>
          <w:color w:val="000000"/>
          <w:spacing w:val="36"/>
          <w:sz w:val="24"/>
          <w:szCs w:val="24"/>
        </w:rPr>
      </w:r>
      <w:r>
        <w:rPr>
          <w:b/>
          <w:color w:val="000000"/>
          <w:spacing w:val="36"/>
          <w:sz w:val="24"/>
          <w:szCs w:val="24"/>
        </w:rPr>
      </w:r>
    </w:p>
    <w:p>
      <w:pPr>
        <w:pStyle w:val="1012"/>
        <w:numPr>
          <w:ilvl w:val="0"/>
          <w:numId w:val="0"/>
        </w:numPr>
        <w:ind w:left="284"/>
        <w:spacing w:before="120" w:line="240" w:lineRule="auto"/>
        <w:rPr>
          <w:b/>
          <w:sz w:val="22"/>
          <w:szCs w:val="22"/>
        </w:rPr>
      </w:pPr>
      <w:r>
        <w:rPr>
          <w:rStyle w:val="1013"/>
          <w:b/>
          <w:sz w:val="22"/>
          <w:szCs w:val="22"/>
        </w:rPr>
        <w:t xml:space="preserve">Инструкции по заполнению: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0" w:right="0" w:firstLine="283"/>
        <w:spacing w:line="240" w:lineRule="auto"/>
        <w:rPr>
          <w:i/>
          <w:iCs/>
          <w:sz w:val="18"/>
          <w:szCs w:val="18"/>
          <w14:ligatures w14:val="none"/>
        </w:rPr>
      </w:pPr>
      <w:r>
        <w:rPr>
          <w:i/>
          <w:iCs/>
          <w:sz w:val="22"/>
          <w:szCs w:val="22"/>
        </w:rPr>
        <w:t xml:space="preserve">1. Заявку с предложением о цене (оферту)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r>
        <w:rPr>
          <w:i/>
          <w:iCs/>
          <w:sz w:val="18"/>
          <w:szCs w:val="18"/>
          <w14:ligatures w14:val="none"/>
        </w:rPr>
      </w:r>
      <w:r>
        <w:rPr>
          <w:i/>
          <w:iCs/>
          <w:sz w:val="18"/>
          <w:szCs w:val="18"/>
          <w14:ligatures w14:val="none"/>
        </w:rPr>
      </w:r>
    </w:p>
    <w:p>
      <w:pPr>
        <w:ind w:left="0" w:right="0" w:firstLine="283"/>
        <w:spacing w:line="240" w:lineRule="auto"/>
        <w:rPr>
          <w:i/>
          <w:iCs/>
          <w:sz w:val="18"/>
          <w:szCs w:val="18"/>
          <w14:ligatures w14:val="none"/>
        </w:rPr>
      </w:pPr>
      <w:r>
        <w:rPr>
          <w:i/>
          <w:iCs/>
          <w:sz w:val="22"/>
          <w:szCs w:val="22"/>
        </w:rPr>
        <w:t xml:space="preserve">2. Участник должен указать свое полное наименование (с указанием организационно-правовой формы) и юридический адрес.</w:t>
      </w:r>
      <w:r>
        <w:rPr>
          <w:i/>
          <w:iCs/>
          <w:sz w:val="18"/>
          <w:szCs w:val="18"/>
          <w14:ligatures w14:val="none"/>
        </w:rPr>
      </w:r>
      <w:r>
        <w:rPr>
          <w:i/>
          <w:iCs/>
          <w:sz w:val="18"/>
          <w:szCs w:val="18"/>
          <w14:ligatures w14:val="none"/>
        </w:rPr>
      </w:r>
    </w:p>
    <w:p>
      <w:pPr>
        <w:ind w:left="0" w:right="0" w:firstLine="283"/>
        <w:spacing w:line="240" w:lineRule="auto"/>
        <w:rPr>
          <w:i/>
          <w:iCs/>
          <w:sz w:val="18"/>
          <w:szCs w:val="18"/>
          <w14:ligatures w14:val="none"/>
        </w:rPr>
      </w:pPr>
      <w:r>
        <w:rPr>
          <w:i/>
          <w:iCs/>
          <w:sz w:val="22"/>
          <w:szCs w:val="22"/>
        </w:rPr>
        <w:t xml:space="preserve">3. Все пункты, указанные в этой форме, являются обязательными для заполнения Участником.</w:t>
      </w:r>
      <w:r>
        <w:rPr>
          <w:i/>
          <w:iCs/>
          <w:sz w:val="18"/>
          <w:szCs w:val="18"/>
          <w14:ligatures w14:val="none"/>
        </w:rPr>
      </w:r>
      <w:r>
        <w:rPr>
          <w:i/>
          <w:iCs/>
          <w:sz w:val="18"/>
          <w:szCs w:val="18"/>
          <w14:ligatures w14:val="none"/>
        </w:rPr>
      </w:r>
    </w:p>
    <w:p>
      <w:pPr>
        <w:ind w:left="0" w:right="0" w:firstLine="283"/>
        <w:spacing w:line="240" w:lineRule="auto"/>
        <w:rPr>
          <w:i/>
          <w:iCs/>
          <w:sz w:val="18"/>
          <w:szCs w:val="18"/>
          <w14:ligatures w14:val="none"/>
        </w:rPr>
      </w:pPr>
      <w:r>
        <w:rPr>
          <w:i/>
          <w:iCs/>
          <w:sz w:val="22"/>
          <w:szCs w:val="22"/>
        </w:rPr>
        <w:t xml:space="preserve">4. Все данные, указанные в круглых скобках и/или курсивом приведены в качестве пояснения (образца) Участникам.</w:t>
      </w:r>
      <w:r>
        <w:rPr>
          <w:i/>
          <w:iCs/>
          <w:sz w:val="18"/>
          <w:szCs w:val="18"/>
          <w14:ligatures w14:val="none"/>
        </w:rPr>
      </w:r>
      <w:r>
        <w:rPr>
          <w:i/>
          <w:iCs/>
          <w:sz w:val="18"/>
          <w:szCs w:val="18"/>
          <w14:ligatures w14:val="none"/>
        </w:rPr>
      </w:r>
    </w:p>
    <w:p>
      <w:pPr>
        <w:ind w:left="0" w:right="0" w:firstLine="283"/>
        <w:spacing w:line="240" w:lineRule="auto"/>
        <w:rPr>
          <w:i/>
          <w:iCs/>
          <w:sz w:val="18"/>
          <w:szCs w:val="18"/>
          <w14:ligatures w14:val="none"/>
        </w:rPr>
      </w:pPr>
      <w:r>
        <w:rPr>
          <w:i/>
          <w:iCs/>
          <w:sz w:val="22"/>
          <w:szCs w:val="22"/>
        </w:rPr>
        <w:t xml:space="preserve">5. При написании многозначных чисел производится группировка их справа налево по три цифры: 14 258 621,33; 985 524,01. Точку в пробелах между группами цифр многозначного числа ставить не допускается.</w:t>
      </w:r>
      <w:r>
        <w:rPr>
          <w:i/>
          <w:iCs/>
          <w:sz w:val="18"/>
          <w:szCs w:val="18"/>
          <w14:ligatures w14:val="none"/>
        </w:rPr>
      </w:r>
      <w:r>
        <w:rPr>
          <w:i/>
          <w:iCs/>
          <w:sz w:val="18"/>
          <w:szCs w:val="18"/>
          <w14:ligatures w14:val="none"/>
        </w:rPr>
      </w:r>
    </w:p>
    <w:p>
      <w:pPr>
        <w:ind w:left="0" w:right="0" w:firstLine="283"/>
        <w:spacing w:line="240" w:lineRule="auto"/>
        <w:rPr>
          <w:i/>
          <w:iCs/>
          <w:sz w:val="18"/>
          <w:szCs w:val="18"/>
          <w14:ligatures w14:val="none"/>
        </w:rPr>
      </w:pPr>
      <w:r>
        <w:rPr>
          <w:i/>
          <w:iCs/>
          <w:sz w:val="22"/>
          <w:szCs w:val="22"/>
        </w:rPr>
        <w:t xml:space="preserve">6. Оф</w:t>
      </w:r>
      <w:r>
        <w:rPr>
          <w:i/>
          <w:iCs/>
          <w:sz w:val="22"/>
          <w:szCs w:val="22"/>
        </w:rPr>
        <w:t xml:space="preserve">ерта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</w:t>
      </w:r>
      <w:r>
        <w:rPr>
          <w:i/>
          <w:iCs/>
          <w:sz w:val="18"/>
          <w:szCs w:val="18"/>
          <w14:ligatures w14:val="none"/>
        </w:rPr>
      </w:r>
      <w:r>
        <w:rPr>
          <w:i/>
          <w:iCs/>
          <w:sz w:val="18"/>
          <w:szCs w:val="18"/>
          <w14:ligatures w14:val="none"/>
        </w:rPr>
      </w:r>
    </w:p>
    <w:p>
      <w:pPr>
        <w:ind w:left="0" w:right="0" w:firstLine="283"/>
        <w:spacing w:line="240" w:lineRule="auto"/>
        <w:rPr>
          <w:color w:val="000000" w:themeColor="text1"/>
          <w:sz w:val="18"/>
          <w:szCs w:val="18"/>
          <w:highlight w:val="white"/>
          <w14:ligatures w14:val="none"/>
        </w:rPr>
      </w:pPr>
      <w:r>
        <w:rPr>
          <w:i/>
          <w:iCs/>
          <w:sz w:val="22"/>
          <w:szCs w:val="22"/>
          <w:highlight w:val="white"/>
        </w:rPr>
        <w:t xml:space="preserve">7. </w:t>
      </w:r>
      <w:r>
        <w:rPr>
          <w:i/>
          <w:iCs/>
          <w:sz w:val="22"/>
          <w:szCs w:val="22"/>
          <w:highlight w:val="white"/>
        </w:rPr>
        <w:t xml:space="preserve">В случае применения участником закупки упрощенной системы нал</w:t>
      </w:r>
      <w:r>
        <w:rPr>
          <w:i/>
          <w:iCs/>
          <w:sz w:val="22"/>
          <w:szCs w:val="22"/>
          <w:highlight w:val="white"/>
        </w:rPr>
        <w:t xml:space="preserve">огообложения либо работы, являющиеся предметом закупочной процедуры, в соответствии с законодательством РФ не облагаются НДС, то при указании стоимости работ в поле «Цена руб. с НДС» проставляется прочерк с указанием сноски на соответствующую статью НК РФ.</w:t>
      </w:r>
      <w:r>
        <w:rPr>
          <w:color w:val="000000" w:themeColor="text1"/>
          <w:sz w:val="18"/>
          <w:szCs w:val="18"/>
          <w:highlight w:val="white"/>
          <w14:ligatures w14:val="none"/>
        </w:rPr>
      </w:r>
      <w:r>
        <w:rPr>
          <w:color w:val="000000" w:themeColor="text1"/>
          <w:sz w:val="18"/>
          <w:szCs w:val="18"/>
          <w:highlight w:val="white"/>
          <w14:ligatures w14:val="none"/>
        </w:rPr>
      </w:r>
    </w:p>
    <w:p>
      <w:pPr>
        <w:ind w:left="0" w:right="0" w:firstLine="283"/>
        <w:spacing w:line="240" w:lineRule="auto"/>
        <w:rPr>
          <w:i/>
          <w:iCs/>
          <w:sz w:val="18"/>
          <w:szCs w:val="18"/>
          <w14:ligatures w14:val="none"/>
        </w:rPr>
      </w:pPr>
      <w:r>
        <w:rPr>
          <w:i/>
          <w:iCs/>
          <w:sz w:val="22"/>
          <w:szCs w:val="22"/>
          <w:highlight w:val="none"/>
        </w:rPr>
        <w:t xml:space="preserve">8. </w:t>
      </w:r>
      <w:r>
        <w:rPr>
          <w:i/>
          <w:iCs/>
          <w:sz w:val="22"/>
          <w:szCs w:val="22"/>
          <w:highlight w:val="none"/>
        </w:rPr>
        <w:t xml:space="preserve">Стоимость работ</w:t>
      </w:r>
      <w:r>
        <w:rPr>
          <w:i/>
          <w:iCs/>
          <w:sz w:val="22"/>
          <w:szCs w:val="22"/>
          <w:highlight w:val="none"/>
        </w:rPr>
        <w:t xml:space="preserve"> (руб. с НДС/руб. без НДС), указанная участником в данной форме, должна соответствовать общей стоимости работ, указанной в коммерческой час</w:t>
      </w:r>
      <w:r>
        <w:rPr>
          <w:i/>
          <w:iCs/>
          <w:sz w:val="22"/>
          <w:szCs w:val="22"/>
          <w:highlight w:val="none"/>
        </w:rPr>
        <w:t xml:space="preserve">ти заявки участника на ЭТП. Несоответствие общей стоимости работ, указанной участником в приложении №4 и в коммерческой части заявки участника на ЭТП, признается нарушением порядка заполнения настоящей формы и является основанием для отклонения заявки</w:t>
      </w:r>
      <w:r>
        <w:rPr>
          <w:i/>
          <w:iCs/>
          <w:sz w:val="22"/>
          <w:szCs w:val="22"/>
          <w:highlight w:val="none"/>
        </w:rPr>
        <w:t xml:space="preserve">.</w:t>
      </w:r>
      <w:r>
        <w:rPr>
          <w:i/>
          <w:iCs/>
          <w:sz w:val="18"/>
          <w:szCs w:val="18"/>
          <w14:ligatures w14:val="none"/>
        </w:rPr>
      </w:r>
      <w:r>
        <w:rPr>
          <w:i/>
          <w:iCs/>
          <w:sz w:val="18"/>
          <w:szCs w:val="18"/>
          <w14:ligatures w14:val="none"/>
        </w:rPr>
      </w:r>
    </w:p>
    <w:p>
      <w:pPr>
        <w:ind w:left="0" w:right="0" w:firstLine="283"/>
        <w:spacing w:line="240" w:lineRule="auto"/>
        <w:rPr>
          <w:i/>
          <w:iCs/>
          <w:sz w:val="18"/>
          <w:szCs w:val="18"/>
          <w14:ligatures w14:val="none"/>
        </w:rPr>
      </w:pPr>
      <w:r>
        <w:rPr>
          <w:i/>
          <w:iCs/>
          <w:sz w:val="22"/>
          <w:szCs w:val="22"/>
        </w:rPr>
      </w:r>
      <w:r>
        <w:rPr>
          <w:i/>
          <w:iCs/>
          <w:sz w:val="18"/>
          <w:szCs w:val="18"/>
          <w14:ligatures w14:val="none"/>
        </w:rPr>
      </w:r>
      <w:r>
        <w:rPr>
          <w:i/>
          <w:iCs/>
          <w:sz w:val="18"/>
          <w:szCs w:val="18"/>
          <w14:ligatures w14:val="none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14"/>
      <w:headerReference w:type="first" r:id="rId15"/>
      <w:footnotePr/>
      <w:endnotePr/>
      <w:type w:val="nextPage"/>
      <w:pgSz w:w="11906" w:h="16838" w:orient="portrait"/>
      <w:pgMar w:top="962" w:right="709" w:bottom="1134" w:left="709" w:header="720" w:footer="72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Verdana">
    <w:panose1 w:val="020B06040305040402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  <w:pBdr>
        <w:bottom w:val="none" w:color="000000" w:sz="0" w:space="0"/>
      </w:pBdr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  <w:jc w:val="both"/>
      <w:rPr>
        <w:lang w:val="en-US"/>
      </w:rPr>
      <w:pBdr>
        <w:bottom w:val="none" w:color="000000" w:sz="0" w:space="0"/>
      </w:pBd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  <w:jc w:val="both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  <w:jc w:val="both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1039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05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6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6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6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7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pStyle w:val="101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6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6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6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1909" w:hanging="120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258" w:hanging="120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07" w:hanging="120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56" w:hanging="120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5" w:hanging="120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color w:val="auto"/>
        <w:sz w:val="23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26"/>
      <w:numFmt w:val="decimal"/>
      <w:isLgl w:val="false"/>
      <w:suff w:val="tab"/>
      <w:lvlText w:val="%1."/>
      <w:lvlJc w:val="left"/>
      <w:pPr>
        <w:ind w:left="517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firstLine="567"/>
        <w:tabs>
          <w:tab w:val="num" w:pos="927" w:leader="none"/>
        </w:tabs>
      </w:pPr>
    </w:lvl>
    <w:lvl w:ilvl="1">
      <w:start w:val="1"/>
      <w:numFmt w:val="decimal"/>
      <w:pStyle w:val="1031"/>
      <w:isLgl w:val="false"/>
      <w:suff w:val="tab"/>
      <w:lvlText w:val="2.%2"/>
      <w:lvlJc w:val="left"/>
      <w:pPr>
        <w:ind w:firstLine="567"/>
        <w:tabs>
          <w:tab w:val="num" w:pos="92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15.%1"/>
      <w:lvlJc w:val="left"/>
      <w:pPr>
        <w:ind w:left="1560" w:hanging="360"/>
      </w:pPr>
      <w:rPr>
        <w:rFonts w:hint="default"/>
        <w:b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13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84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20" w:hanging="48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4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0"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pStyle w:val="1046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0"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708"/>
        <w:tabs>
          <w:tab w:val="num" w:pos="-284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none"/>
      <w:isLgl w:val="false"/>
      <w:suff w:val="tab"/>
      <w:lvlText w:val="17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-69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7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14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1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29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36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43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062" w:hanging="180"/>
      </w:p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79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708"/>
        <w:tabs>
          <w:tab w:val="num" w:pos="-284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567"/>
        <w:tabs>
          <w:tab w:val="num" w:pos="1134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85" w:hanging="851"/>
        <w:tabs>
          <w:tab w:val="num" w:pos="198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119" w:hanging="1134"/>
        <w:tabs>
          <w:tab w:val="num" w:pos="3119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99" w:hanging="792"/>
        <w:tabs>
          <w:tab w:val="num" w:pos="3807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4527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5247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5967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6687" w:leader="none"/>
        </w:tabs>
      </w:pPr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502" w:hanging="360"/>
        <w:tabs>
          <w:tab w:val="num" w:pos="502" w:leader="none"/>
        </w:tabs>
      </w:pPr>
      <w:rPr>
        <w:b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860" w:hanging="576"/>
        <w:tabs>
          <w:tab w:val="num" w:pos="860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31" w:hanging="480"/>
      </w:pPr>
      <w:rPr>
        <w:rFonts w:hint="default"/>
        <w:b w:val="0"/>
        <w:color w:val="auto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13.%1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320" w:hanging="48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4"/>
      <w:numFmt w:val="decimal"/>
      <w:isLgl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1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84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20" w:hanging="48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2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0"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708"/>
        <w:tabs>
          <w:tab w:val="num" w:pos="-284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none"/>
      <w:isLgl w:val="false"/>
      <w:suff w:val="tab"/>
      <w:lvlText w:val="17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2"/>
  </w:num>
  <w:num w:numId="5">
    <w:abstractNumId w:val="20"/>
  </w:num>
  <w:num w:numId="6">
    <w:abstractNumId w:val="24"/>
  </w:num>
  <w:num w:numId="7">
    <w:abstractNumId w:val="20"/>
  </w:num>
  <w:num w:numId="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0"/>
  </w:num>
  <w:num w:numId="12">
    <w:abstractNumId w:val="4"/>
  </w:num>
  <w:num w:numId="13">
    <w:abstractNumId w:val="15"/>
  </w:num>
  <w:num w:numId="14">
    <w:abstractNumId w:val="25"/>
  </w:num>
  <w:num w:numId="15">
    <w:abstractNumId w:val="17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8"/>
  </w:num>
  <w:num w:numId="20">
    <w:abstractNumId w:val="30"/>
  </w:num>
  <w:num w:numId="21">
    <w:abstractNumId w:val="23"/>
  </w:num>
  <w:num w:numId="22">
    <w:abstractNumId w:val="8"/>
  </w:num>
  <w:num w:numId="23">
    <w:abstractNumId w:val="3"/>
  </w:num>
  <w:num w:numId="24">
    <w:abstractNumId w:val="19"/>
  </w:num>
  <w:num w:numId="25">
    <w:abstractNumId w:val="22"/>
  </w:num>
  <w:num w:numId="26">
    <w:abstractNumId w:val="27"/>
  </w:num>
  <w:num w:numId="27">
    <w:abstractNumId w:val="28"/>
  </w:num>
  <w:num w:numId="28">
    <w:abstractNumId w:val="26"/>
  </w:num>
  <w:num w:numId="29">
    <w:abstractNumId w:val="2"/>
  </w:num>
  <w:num w:numId="30">
    <w:abstractNumId w:val="13"/>
  </w:num>
  <w:num w:numId="31">
    <w:abstractNumId w:val="2"/>
  </w:num>
  <w:num w:numId="32">
    <w:abstractNumId w:val="14"/>
  </w:num>
  <w:num w:numId="33">
    <w:abstractNumId w:val="16"/>
  </w:num>
  <w:num w:numId="34">
    <w:abstractNumId w:val="29"/>
  </w:num>
  <w:num w:numId="35">
    <w:abstractNumId w:val="12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2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0">
    <w:name w:val="Heading 1 Char"/>
    <w:basedOn w:val="971"/>
    <w:link w:val="962"/>
    <w:uiPriority w:val="9"/>
    <w:rPr>
      <w:rFonts w:ascii="Arial" w:hAnsi="Arial" w:eastAsia="Arial" w:cs="Arial"/>
      <w:sz w:val="40"/>
      <w:szCs w:val="40"/>
    </w:rPr>
  </w:style>
  <w:style w:type="character" w:styleId="811">
    <w:name w:val="Heading 2 Char"/>
    <w:basedOn w:val="971"/>
    <w:link w:val="963"/>
    <w:uiPriority w:val="9"/>
    <w:rPr>
      <w:rFonts w:ascii="Arial" w:hAnsi="Arial" w:eastAsia="Arial" w:cs="Arial"/>
      <w:sz w:val="34"/>
    </w:rPr>
  </w:style>
  <w:style w:type="character" w:styleId="812">
    <w:name w:val="Heading 3 Char"/>
    <w:basedOn w:val="971"/>
    <w:link w:val="964"/>
    <w:uiPriority w:val="9"/>
    <w:rPr>
      <w:rFonts w:ascii="Arial" w:hAnsi="Arial" w:eastAsia="Arial" w:cs="Arial"/>
      <w:sz w:val="30"/>
      <w:szCs w:val="30"/>
    </w:rPr>
  </w:style>
  <w:style w:type="character" w:styleId="813">
    <w:name w:val="Heading 4 Char"/>
    <w:basedOn w:val="971"/>
    <w:link w:val="965"/>
    <w:uiPriority w:val="9"/>
    <w:rPr>
      <w:rFonts w:ascii="Arial" w:hAnsi="Arial" w:eastAsia="Arial" w:cs="Arial"/>
      <w:b/>
      <w:bCs/>
      <w:sz w:val="26"/>
      <w:szCs w:val="26"/>
    </w:rPr>
  </w:style>
  <w:style w:type="character" w:styleId="814">
    <w:name w:val="Heading 5 Char"/>
    <w:basedOn w:val="971"/>
    <w:link w:val="966"/>
    <w:uiPriority w:val="9"/>
    <w:rPr>
      <w:rFonts w:ascii="Arial" w:hAnsi="Arial" w:eastAsia="Arial" w:cs="Arial"/>
      <w:b/>
      <w:bCs/>
      <w:sz w:val="24"/>
      <w:szCs w:val="24"/>
    </w:rPr>
  </w:style>
  <w:style w:type="character" w:styleId="815">
    <w:name w:val="Heading 6 Char"/>
    <w:basedOn w:val="971"/>
    <w:link w:val="967"/>
    <w:uiPriority w:val="9"/>
    <w:rPr>
      <w:rFonts w:ascii="Arial" w:hAnsi="Arial" w:eastAsia="Arial" w:cs="Arial"/>
      <w:b/>
      <w:bCs/>
      <w:sz w:val="22"/>
      <w:szCs w:val="22"/>
    </w:rPr>
  </w:style>
  <w:style w:type="character" w:styleId="816">
    <w:name w:val="Heading 7 Char"/>
    <w:basedOn w:val="971"/>
    <w:link w:val="9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7">
    <w:name w:val="Heading 8 Char"/>
    <w:basedOn w:val="971"/>
    <w:link w:val="969"/>
    <w:uiPriority w:val="9"/>
    <w:rPr>
      <w:rFonts w:ascii="Arial" w:hAnsi="Arial" w:eastAsia="Arial" w:cs="Arial"/>
      <w:i/>
      <w:iCs/>
      <w:sz w:val="22"/>
      <w:szCs w:val="22"/>
    </w:rPr>
  </w:style>
  <w:style w:type="character" w:styleId="818">
    <w:name w:val="Heading 9 Char"/>
    <w:basedOn w:val="971"/>
    <w:link w:val="970"/>
    <w:uiPriority w:val="9"/>
    <w:rPr>
      <w:rFonts w:ascii="Arial" w:hAnsi="Arial" w:eastAsia="Arial" w:cs="Arial"/>
      <w:i/>
      <w:iCs/>
      <w:sz w:val="21"/>
      <w:szCs w:val="21"/>
    </w:rPr>
  </w:style>
  <w:style w:type="paragraph" w:styleId="819">
    <w:name w:val="Title"/>
    <w:basedOn w:val="961"/>
    <w:next w:val="961"/>
    <w:link w:val="8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0">
    <w:name w:val="Title Char"/>
    <w:basedOn w:val="971"/>
    <w:link w:val="819"/>
    <w:uiPriority w:val="10"/>
    <w:rPr>
      <w:sz w:val="48"/>
      <w:szCs w:val="48"/>
    </w:rPr>
  </w:style>
  <w:style w:type="paragraph" w:styleId="821">
    <w:name w:val="Subtitle"/>
    <w:basedOn w:val="961"/>
    <w:next w:val="961"/>
    <w:link w:val="822"/>
    <w:uiPriority w:val="11"/>
    <w:qFormat/>
    <w:pPr>
      <w:spacing w:before="200" w:after="200"/>
    </w:pPr>
    <w:rPr>
      <w:sz w:val="24"/>
      <w:szCs w:val="24"/>
    </w:rPr>
  </w:style>
  <w:style w:type="character" w:styleId="822">
    <w:name w:val="Subtitle Char"/>
    <w:basedOn w:val="971"/>
    <w:link w:val="821"/>
    <w:uiPriority w:val="11"/>
    <w:rPr>
      <w:sz w:val="24"/>
      <w:szCs w:val="24"/>
    </w:rPr>
  </w:style>
  <w:style w:type="paragraph" w:styleId="823">
    <w:name w:val="Quote"/>
    <w:basedOn w:val="961"/>
    <w:next w:val="961"/>
    <w:link w:val="824"/>
    <w:uiPriority w:val="29"/>
    <w:qFormat/>
    <w:pPr>
      <w:ind w:left="720" w:right="720"/>
    </w:pPr>
    <w:rPr>
      <w:i/>
    </w:rPr>
  </w:style>
  <w:style w:type="character" w:styleId="824">
    <w:name w:val="Quote Char"/>
    <w:link w:val="823"/>
    <w:uiPriority w:val="29"/>
    <w:rPr>
      <w:i/>
    </w:rPr>
  </w:style>
  <w:style w:type="paragraph" w:styleId="825">
    <w:name w:val="Intense Quote"/>
    <w:basedOn w:val="961"/>
    <w:next w:val="961"/>
    <w:link w:val="82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6">
    <w:name w:val="Intense Quote Char"/>
    <w:link w:val="825"/>
    <w:uiPriority w:val="30"/>
    <w:rPr>
      <w:i/>
    </w:rPr>
  </w:style>
  <w:style w:type="character" w:styleId="827">
    <w:name w:val="Header Char"/>
    <w:basedOn w:val="971"/>
    <w:link w:val="985"/>
    <w:uiPriority w:val="99"/>
  </w:style>
  <w:style w:type="character" w:styleId="828">
    <w:name w:val="Footer Char"/>
    <w:basedOn w:val="971"/>
    <w:link w:val="987"/>
    <w:uiPriority w:val="99"/>
  </w:style>
  <w:style w:type="character" w:styleId="829">
    <w:name w:val="Caption Char"/>
    <w:basedOn w:val="1003"/>
    <w:link w:val="987"/>
    <w:uiPriority w:val="99"/>
  </w:style>
  <w:style w:type="table" w:styleId="830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4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6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8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9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1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3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4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5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8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70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71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2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3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4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5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6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8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3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4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5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6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7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8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9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1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2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3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4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5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6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7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8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29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30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31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32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33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34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5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36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37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38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39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40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1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2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43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4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45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46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47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8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9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0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1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2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3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4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5">
    <w:name w:val="Footnote Text Char"/>
    <w:link w:val="1000"/>
    <w:uiPriority w:val="99"/>
    <w:rPr>
      <w:sz w:val="18"/>
    </w:rPr>
  </w:style>
  <w:style w:type="paragraph" w:styleId="956">
    <w:name w:val="endnote text"/>
    <w:basedOn w:val="961"/>
    <w:link w:val="957"/>
    <w:uiPriority w:val="99"/>
    <w:semiHidden/>
    <w:unhideWhenUsed/>
    <w:pPr>
      <w:spacing w:after="0" w:line="240" w:lineRule="auto"/>
    </w:pPr>
    <w:rPr>
      <w:sz w:val="20"/>
    </w:rPr>
  </w:style>
  <w:style w:type="character" w:styleId="957">
    <w:name w:val="Endnote Text Char"/>
    <w:link w:val="956"/>
    <w:uiPriority w:val="99"/>
    <w:rPr>
      <w:sz w:val="20"/>
    </w:rPr>
  </w:style>
  <w:style w:type="character" w:styleId="958">
    <w:name w:val="endnote reference"/>
    <w:basedOn w:val="971"/>
    <w:uiPriority w:val="99"/>
    <w:semiHidden/>
    <w:unhideWhenUsed/>
    <w:rPr>
      <w:vertAlign w:val="superscript"/>
    </w:rPr>
  </w:style>
  <w:style w:type="paragraph" w:styleId="959">
    <w:name w:val="TOC Heading"/>
    <w:uiPriority w:val="39"/>
    <w:unhideWhenUsed/>
  </w:style>
  <w:style w:type="paragraph" w:styleId="960">
    <w:name w:val="table of figures"/>
    <w:basedOn w:val="961"/>
    <w:next w:val="961"/>
    <w:uiPriority w:val="99"/>
    <w:unhideWhenUsed/>
    <w:pPr>
      <w:spacing w:after="0" w:afterAutospacing="0"/>
    </w:pPr>
  </w:style>
  <w:style w:type="paragraph" w:styleId="96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2">
    <w:name w:val="Heading 1"/>
    <w:basedOn w:val="961"/>
    <w:next w:val="961"/>
    <w:link w:val="97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63">
    <w:name w:val="Heading 2"/>
    <w:basedOn w:val="961"/>
    <w:next w:val="961"/>
    <w:link w:val="975"/>
    <w:qFormat/>
    <w:pPr>
      <w:numPr>
        <w:ilvl w:val="1"/>
        <w:numId w:val="4"/>
      </w:numPr>
      <w:jc w:val="left"/>
      <w:keepNext/>
      <w:spacing w:before="360" w:after="120" w:line="240" w:lineRule="auto"/>
      <w:outlineLvl w:val="1"/>
    </w:pPr>
    <w:rPr>
      <w:rFonts w:ascii="Cambria" w:hAnsi="Cambria"/>
      <w:b/>
      <w:bCs/>
      <w:i/>
      <w:iCs/>
    </w:rPr>
  </w:style>
  <w:style w:type="paragraph" w:styleId="964">
    <w:name w:val="Heading 3"/>
    <w:basedOn w:val="961"/>
    <w:next w:val="961"/>
    <w:link w:val="976"/>
    <w:uiPriority w:val="9"/>
    <w:qFormat/>
    <w:pPr>
      <w:numPr>
        <w:ilvl w:val="2"/>
        <w:numId w:val="2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65">
    <w:name w:val="Heading 4"/>
    <w:basedOn w:val="961"/>
    <w:next w:val="961"/>
    <w:link w:val="977"/>
    <w:uiPriority w:val="9"/>
    <w:qFormat/>
    <w:pPr>
      <w:numPr>
        <w:ilvl w:val="3"/>
        <w:numId w:val="2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66">
    <w:name w:val="Heading 5"/>
    <w:basedOn w:val="961"/>
    <w:next w:val="961"/>
    <w:link w:val="978"/>
    <w:uiPriority w:val="9"/>
    <w:qFormat/>
    <w:pPr>
      <w:numPr>
        <w:ilvl w:val="4"/>
        <w:numId w:val="3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67">
    <w:name w:val="Heading 6"/>
    <w:basedOn w:val="961"/>
    <w:next w:val="961"/>
    <w:link w:val="979"/>
    <w:uiPriority w:val="9"/>
    <w:qFormat/>
    <w:pPr>
      <w:numPr>
        <w:ilvl w:val="5"/>
        <w:numId w:val="3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68">
    <w:name w:val="Heading 7"/>
    <w:basedOn w:val="961"/>
    <w:next w:val="961"/>
    <w:link w:val="980"/>
    <w:uiPriority w:val="9"/>
    <w:qFormat/>
    <w:pPr>
      <w:numPr>
        <w:ilvl w:val="6"/>
        <w:numId w:val="3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9">
    <w:name w:val="Heading 8"/>
    <w:basedOn w:val="961"/>
    <w:next w:val="961"/>
    <w:link w:val="981"/>
    <w:uiPriority w:val="9"/>
    <w:qFormat/>
    <w:pPr>
      <w:numPr>
        <w:ilvl w:val="7"/>
        <w:numId w:val="3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70">
    <w:name w:val="Heading 9"/>
    <w:basedOn w:val="961"/>
    <w:next w:val="961"/>
    <w:link w:val="982"/>
    <w:uiPriority w:val="9"/>
    <w:qFormat/>
    <w:pPr>
      <w:numPr>
        <w:ilvl w:val="8"/>
        <w:numId w:val="3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character" w:styleId="974" w:customStyle="1">
    <w:name w:val="Заголовок 1 Знак"/>
    <w:link w:val="962"/>
    <w:rPr>
      <w:rFonts w:ascii="Cambria" w:hAnsi="Cambria"/>
      <w:b/>
      <w:bCs/>
      <w:sz w:val="32"/>
      <w:szCs w:val="32"/>
    </w:rPr>
  </w:style>
  <w:style w:type="character" w:styleId="975" w:customStyle="1">
    <w:name w:val="Заголовок 2 Знак"/>
    <w:link w:val="963"/>
    <w:rPr>
      <w:rFonts w:ascii="Cambria" w:hAnsi="Cambria"/>
      <w:b/>
      <w:bCs/>
      <w:i/>
      <w:iCs/>
      <w:sz w:val="28"/>
      <w:szCs w:val="28"/>
    </w:rPr>
  </w:style>
  <w:style w:type="character" w:styleId="976" w:customStyle="1">
    <w:name w:val="Заголовок 3 Знак"/>
    <w:link w:val="964"/>
    <w:uiPriority w:val="9"/>
    <w:rPr>
      <w:rFonts w:ascii="Cambria" w:hAnsi="Cambria"/>
      <w:b/>
      <w:bCs/>
      <w:sz w:val="26"/>
      <w:szCs w:val="26"/>
    </w:rPr>
  </w:style>
  <w:style w:type="character" w:styleId="977" w:customStyle="1">
    <w:name w:val="Заголовок 4 Знак"/>
    <w:link w:val="965"/>
    <w:uiPriority w:val="9"/>
    <w:rPr>
      <w:rFonts w:ascii="Calibri" w:hAnsi="Calibri"/>
      <w:b/>
      <w:bCs/>
      <w:sz w:val="28"/>
      <w:szCs w:val="28"/>
    </w:rPr>
  </w:style>
  <w:style w:type="character" w:styleId="978" w:customStyle="1">
    <w:name w:val="Заголовок 5 Знак"/>
    <w:link w:val="966"/>
    <w:uiPriority w:val="9"/>
    <w:rPr>
      <w:rFonts w:ascii="Calibri" w:hAnsi="Calibri"/>
      <w:b/>
      <w:bCs/>
      <w:i/>
      <w:iCs/>
      <w:sz w:val="26"/>
      <w:szCs w:val="26"/>
    </w:rPr>
  </w:style>
  <w:style w:type="character" w:styleId="979" w:customStyle="1">
    <w:name w:val="Заголовок 6 Знак"/>
    <w:link w:val="967"/>
    <w:uiPriority w:val="9"/>
    <w:rPr>
      <w:rFonts w:ascii="Calibri" w:hAnsi="Calibri"/>
      <w:b/>
      <w:bCs/>
    </w:rPr>
  </w:style>
  <w:style w:type="character" w:styleId="980" w:customStyle="1">
    <w:name w:val="Заголовок 7 Знак"/>
    <w:link w:val="968"/>
    <w:uiPriority w:val="9"/>
    <w:rPr>
      <w:rFonts w:ascii="Calibri" w:hAnsi="Calibri"/>
      <w:sz w:val="24"/>
      <w:szCs w:val="24"/>
    </w:rPr>
  </w:style>
  <w:style w:type="character" w:styleId="981" w:customStyle="1">
    <w:name w:val="Заголовок 8 Знак"/>
    <w:link w:val="969"/>
    <w:uiPriority w:val="9"/>
    <w:rPr>
      <w:rFonts w:ascii="Calibri" w:hAnsi="Calibri"/>
      <w:i/>
      <w:iCs/>
      <w:sz w:val="24"/>
      <w:szCs w:val="24"/>
    </w:rPr>
  </w:style>
  <w:style w:type="character" w:styleId="982" w:customStyle="1">
    <w:name w:val="Заголовок 9 Знак"/>
    <w:link w:val="970"/>
    <w:uiPriority w:val="9"/>
    <w:rPr>
      <w:rFonts w:ascii="Cambria" w:hAnsi="Cambria"/>
    </w:rPr>
  </w:style>
  <w:style w:type="paragraph" w:styleId="983">
    <w:name w:val="Balloon Text"/>
    <w:basedOn w:val="961"/>
    <w:link w:val="984"/>
    <w:semiHidden/>
    <w:rPr>
      <w:rFonts w:ascii="Tahoma" w:hAnsi="Tahoma"/>
      <w:sz w:val="16"/>
      <w:szCs w:val="16"/>
    </w:rPr>
  </w:style>
  <w:style w:type="character" w:styleId="984" w:customStyle="1">
    <w:name w:val="Текст выноски Знак"/>
    <w:link w:val="983"/>
    <w:semiHidden/>
    <w:rPr>
      <w:rFonts w:ascii="Tahoma" w:hAnsi="Tahoma" w:cs="Tahoma"/>
      <w:sz w:val="16"/>
      <w:szCs w:val="16"/>
    </w:rPr>
  </w:style>
  <w:style w:type="paragraph" w:styleId="985">
    <w:name w:val="Header"/>
    <w:basedOn w:val="961"/>
    <w:link w:val="98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86" w:customStyle="1">
    <w:name w:val="Верхний колонтитул Знак"/>
    <w:link w:val="985"/>
    <w:uiPriority w:val="99"/>
    <w:rPr>
      <w:sz w:val="28"/>
      <w:szCs w:val="28"/>
    </w:rPr>
  </w:style>
  <w:style w:type="paragraph" w:styleId="987">
    <w:name w:val="Footer"/>
    <w:basedOn w:val="961"/>
    <w:link w:val="98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8" w:customStyle="1">
    <w:name w:val="Нижний колонтитул Знак"/>
    <w:link w:val="987"/>
    <w:uiPriority w:val="99"/>
    <w:rPr>
      <w:sz w:val="28"/>
      <w:szCs w:val="28"/>
    </w:rPr>
  </w:style>
  <w:style w:type="character" w:styleId="989">
    <w:name w:val="Hyperlink"/>
    <w:uiPriority w:val="99"/>
    <w:rPr>
      <w:color w:val="0000ff"/>
      <w:u w:val="single"/>
    </w:rPr>
  </w:style>
  <w:style w:type="character" w:styleId="990">
    <w:name w:val="footnote reference"/>
    <w:uiPriority w:val="99"/>
    <w:semiHidden/>
    <w:rPr>
      <w:vertAlign w:val="superscript"/>
    </w:rPr>
  </w:style>
  <w:style w:type="character" w:styleId="99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92">
    <w:name w:val="toc 1"/>
    <w:basedOn w:val="961"/>
    <w:next w:val="96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93">
    <w:name w:val="toc 2"/>
    <w:basedOn w:val="961"/>
    <w:next w:val="96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94">
    <w:name w:val="toc 3"/>
    <w:basedOn w:val="961"/>
    <w:next w:val="96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95">
    <w:name w:val="toc 4"/>
    <w:basedOn w:val="961"/>
    <w:next w:val="96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96">
    <w:name w:val="FollowedHyperlink"/>
    <w:uiPriority w:val="99"/>
    <w:rPr>
      <w:color w:val="800080"/>
      <w:u w:val="single"/>
    </w:rPr>
  </w:style>
  <w:style w:type="paragraph" w:styleId="997">
    <w:name w:val="Document Map"/>
    <w:basedOn w:val="961"/>
    <w:link w:val="99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8" w:customStyle="1">
    <w:name w:val="Схема документа Знак"/>
    <w:link w:val="997"/>
    <w:uiPriority w:val="99"/>
    <w:semiHidden/>
    <w:rPr>
      <w:rFonts w:ascii="Tahoma" w:hAnsi="Tahoma" w:cs="Tahoma"/>
      <w:sz w:val="16"/>
      <w:szCs w:val="16"/>
    </w:rPr>
  </w:style>
  <w:style w:type="paragraph" w:styleId="999" w:customStyle="1">
    <w:name w:val="Таблица шапка"/>
    <w:basedOn w:val="961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00">
    <w:name w:val="footnote text"/>
    <w:basedOn w:val="961"/>
    <w:link w:val="1001"/>
    <w:uiPriority w:val="99"/>
    <w:pPr>
      <w:spacing w:line="240" w:lineRule="auto"/>
    </w:pPr>
    <w:rPr>
      <w:sz w:val="20"/>
      <w:szCs w:val="20"/>
    </w:rPr>
  </w:style>
  <w:style w:type="character" w:styleId="1001" w:customStyle="1">
    <w:name w:val="Текст сноски Знак"/>
    <w:link w:val="1000"/>
    <w:uiPriority w:val="99"/>
    <w:semiHidden/>
    <w:rPr>
      <w:sz w:val="20"/>
      <w:szCs w:val="20"/>
    </w:rPr>
  </w:style>
  <w:style w:type="paragraph" w:styleId="1002" w:customStyle="1">
    <w:name w:val="Таблица текст"/>
    <w:basedOn w:val="961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03">
    <w:name w:val="Caption"/>
    <w:basedOn w:val="961"/>
    <w:next w:val="961"/>
    <w:link w:val="829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04">
    <w:name w:val="toc 5"/>
    <w:basedOn w:val="961"/>
    <w:next w:val="961"/>
    <w:uiPriority w:val="99"/>
    <w:semiHidden/>
    <w:pPr>
      <w:ind w:left="1120"/>
      <w:jc w:val="left"/>
    </w:pPr>
    <w:rPr>
      <w:sz w:val="18"/>
      <w:szCs w:val="18"/>
    </w:rPr>
  </w:style>
  <w:style w:type="paragraph" w:styleId="1005">
    <w:name w:val="toc 6"/>
    <w:basedOn w:val="961"/>
    <w:next w:val="961"/>
    <w:uiPriority w:val="99"/>
    <w:semiHidden/>
    <w:pPr>
      <w:ind w:left="1400"/>
      <w:jc w:val="left"/>
    </w:pPr>
    <w:rPr>
      <w:sz w:val="18"/>
      <w:szCs w:val="18"/>
    </w:rPr>
  </w:style>
  <w:style w:type="paragraph" w:styleId="1006">
    <w:name w:val="toc 7"/>
    <w:basedOn w:val="961"/>
    <w:next w:val="961"/>
    <w:uiPriority w:val="99"/>
    <w:semiHidden/>
    <w:pPr>
      <w:ind w:left="1680"/>
      <w:jc w:val="left"/>
    </w:pPr>
    <w:rPr>
      <w:sz w:val="18"/>
      <w:szCs w:val="18"/>
    </w:rPr>
  </w:style>
  <w:style w:type="paragraph" w:styleId="1007">
    <w:name w:val="toc 8"/>
    <w:basedOn w:val="961"/>
    <w:next w:val="961"/>
    <w:uiPriority w:val="99"/>
    <w:semiHidden/>
    <w:pPr>
      <w:ind w:left="1960"/>
      <w:jc w:val="left"/>
    </w:pPr>
    <w:rPr>
      <w:sz w:val="18"/>
      <w:szCs w:val="18"/>
    </w:rPr>
  </w:style>
  <w:style w:type="paragraph" w:styleId="1008">
    <w:name w:val="toc 9"/>
    <w:basedOn w:val="961"/>
    <w:next w:val="961"/>
    <w:uiPriority w:val="99"/>
    <w:semiHidden/>
    <w:pPr>
      <w:ind w:left="2240"/>
      <w:jc w:val="left"/>
    </w:pPr>
    <w:rPr>
      <w:sz w:val="18"/>
      <w:szCs w:val="18"/>
    </w:rPr>
  </w:style>
  <w:style w:type="paragraph" w:styleId="1009" w:customStyle="1">
    <w:name w:val="маркированный"/>
    <w:basedOn w:val="961"/>
    <w:uiPriority w:val="99"/>
    <w:pPr>
      <w:ind w:firstLine="0"/>
    </w:pPr>
  </w:style>
  <w:style w:type="paragraph" w:styleId="1010" w:customStyle="1">
    <w:name w:val="Пункт"/>
    <w:basedOn w:val="961"/>
    <w:link w:val="1035"/>
    <w:pPr>
      <w:numPr>
        <w:ilvl w:val="2"/>
        <w:numId w:val="4"/>
      </w:numPr>
    </w:pPr>
  </w:style>
  <w:style w:type="character" w:styleId="1011" w:customStyle="1">
    <w:name w:val="Пункт Знак"/>
    <w:rPr>
      <w:sz w:val="28"/>
      <w:szCs w:val="28"/>
      <w:lang w:val="ru-RU" w:eastAsia="ru-RU"/>
    </w:rPr>
  </w:style>
  <w:style w:type="paragraph" w:styleId="1012" w:customStyle="1">
    <w:name w:val="Подпункт"/>
    <w:basedOn w:val="1010"/>
    <w:link w:val="1054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13" w:customStyle="1">
    <w:name w:val="Подпункт Знак"/>
  </w:style>
  <w:style w:type="character" w:styleId="1014" w:customStyle="1">
    <w:name w:val="комментарий"/>
    <w:rPr>
      <w:b/>
      <w:bCs/>
      <w:i/>
      <w:iCs/>
      <w:shd w:val="clear" w:color="auto" w:fill="ffff99"/>
    </w:rPr>
  </w:style>
  <w:style w:type="paragraph" w:styleId="1015" w:customStyle="1">
    <w:name w:val="Пункт-2"/>
    <w:basedOn w:val="1010"/>
    <w:uiPriority w:val="99"/>
    <w:pPr>
      <w:keepNext/>
      <w:outlineLvl w:val="2"/>
    </w:pPr>
    <w:rPr>
      <w:b/>
      <w:bCs/>
    </w:rPr>
  </w:style>
  <w:style w:type="paragraph" w:styleId="1016" w:customStyle="1">
    <w:name w:val="Подподпункт"/>
    <w:basedOn w:val="1012"/>
    <w:link w:val="1036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17">
    <w:name w:val="List Number"/>
    <w:basedOn w:val="961"/>
    <w:uiPriority w:val="99"/>
    <w:pPr>
      <w:ind w:firstLine="0"/>
      <w:spacing w:before="60"/>
    </w:pPr>
  </w:style>
  <w:style w:type="paragraph" w:styleId="1018" w:customStyle="1">
    <w:name w:val="Текст таблицы"/>
    <w:basedOn w:val="96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9" w:customStyle="1">
    <w:name w:val="Пункт б/н"/>
    <w:basedOn w:val="961"/>
    <w:uiPriority w:val="99"/>
    <w:pPr>
      <w:tabs>
        <w:tab w:val="left" w:pos="1134" w:leader="none"/>
      </w:tabs>
    </w:pPr>
  </w:style>
  <w:style w:type="paragraph" w:styleId="1020">
    <w:name w:val="List Bullet"/>
    <w:basedOn w:val="961"/>
    <w:uiPriority w:val="99"/>
    <w:pPr>
      <w:ind w:firstLine="0"/>
    </w:pPr>
  </w:style>
  <w:style w:type="paragraph" w:styleId="1021">
    <w:name w:val="Body Text 2"/>
    <w:basedOn w:val="961"/>
    <w:link w:val="1022"/>
    <w:uiPriority w:val="99"/>
    <w:pPr>
      <w:ind w:left="5760" w:firstLine="0"/>
      <w:jc w:val="left"/>
      <w:spacing w:line="240" w:lineRule="auto"/>
    </w:pPr>
  </w:style>
  <w:style w:type="character" w:styleId="1022" w:customStyle="1">
    <w:name w:val="Основной текст 2 Знак"/>
    <w:link w:val="1021"/>
    <w:uiPriority w:val="99"/>
    <w:semiHidden/>
    <w:rPr>
      <w:sz w:val="28"/>
      <w:szCs w:val="28"/>
    </w:rPr>
  </w:style>
  <w:style w:type="paragraph" w:styleId="1023">
    <w:name w:val="annotation text"/>
    <w:basedOn w:val="961"/>
    <w:link w:val="1027"/>
    <w:semiHidden/>
    <w:rPr>
      <w:sz w:val="20"/>
      <w:szCs w:val="20"/>
    </w:rPr>
  </w:style>
  <w:style w:type="character" w:styleId="1024">
    <w:name w:val="annotation reference"/>
    <w:semiHidden/>
    <w:rPr>
      <w:sz w:val="16"/>
    </w:rPr>
  </w:style>
  <w:style w:type="paragraph" w:styleId="1025" w:customStyle="1">
    <w:name w:val="Пункт_3"/>
    <w:basedOn w:val="961"/>
    <w:uiPriority w:val="99"/>
    <w:pPr>
      <w:ind w:firstLine="0"/>
      <w:spacing w:line="240" w:lineRule="auto"/>
    </w:pPr>
  </w:style>
  <w:style w:type="paragraph" w:styleId="1026">
    <w:name w:val="annotation subject"/>
    <w:basedOn w:val="1023"/>
    <w:next w:val="1023"/>
    <w:link w:val="1028"/>
    <w:uiPriority w:val="99"/>
    <w:semiHidden/>
    <w:unhideWhenUsed/>
    <w:rPr>
      <w:b/>
      <w:bCs/>
    </w:rPr>
  </w:style>
  <w:style w:type="character" w:styleId="1027" w:customStyle="1">
    <w:name w:val="Текст примечания Знак"/>
    <w:basedOn w:val="971"/>
    <w:link w:val="1023"/>
    <w:semiHidden/>
  </w:style>
  <w:style w:type="character" w:styleId="1028" w:customStyle="1">
    <w:name w:val="Тема примечания Знак"/>
    <w:link w:val="1026"/>
    <w:uiPriority w:val="99"/>
    <w:semiHidden/>
    <w:rPr>
      <w:b/>
      <w:bCs/>
    </w:rPr>
  </w:style>
  <w:style w:type="paragraph" w:styleId="1029">
    <w:name w:val="Body Text Indent"/>
    <w:basedOn w:val="961"/>
    <w:link w:val="1030"/>
    <w:uiPriority w:val="99"/>
    <w:semiHidden/>
    <w:unhideWhenUsed/>
    <w:pPr>
      <w:ind w:left="283"/>
      <w:spacing w:after="120"/>
    </w:pPr>
  </w:style>
  <w:style w:type="character" w:styleId="1030" w:customStyle="1">
    <w:name w:val="Основной текст с отступом Знак"/>
    <w:link w:val="1029"/>
    <w:uiPriority w:val="99"/>
    <w:semiHidden/>
    <w:rPr>
      <w:sz w:val="28"/>
      <w:szCs w:val="28"/>
    </w:rPr>
  </w:style>
  <w:style w:type="paragraph" w:styleId="1031" w:customStyle="1">
    <w:name w:val="Знак Знак Знак Знак Знак Знак Знак Знак Знак Знак"/>
    <w:basedOn w:val="961"/>
    <w:pPr>
      <w:numPr>
        <w:ilvl w:val="1"/>
        <w:numId w:val="8"/>
      </w:numPr>
      <w:ind w:firstLine="0"/>
      <w:jc w:val="left"/>
      <w:spacing w:after="160" w:line="240" w:lineRule="exact"/>
      <w:tabs>
        <w:tab w:val="num" w:pos="360" w:leader="none"/>
        <w:tab w:val="clear" w:pos="927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032" w:customStyle="1">
    <w:name w:val="Знак Знак4 Знак Знак Знак Знак Знак Знак"/>
    <w:basedOn w:val="96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3">
    <w:name w:val="Body Text"/>
    <w:basedOn w:val="961"/>
    <w:link w:val="1034"/>
    <w:pPr>
      <w:spacing w:after="120"/>
    </w:pPr>
    <w:rPr>
      <w:szCs w:val="20"/>
    </w:rPr>
  </w:style>
  <w:style w:type="character" w:styleId="1034" w:customStyle="1">
    <w:name w:val="Основной текст Знак"/>
    <w:link w:val="1033"/>
    <w:rPr>
      <w:sz w:val="28"/>
    </w:rPr>
  </w:style>
  <w:style w:type="character" w:styleId="1035" w:customStyle="1">
    <w:name w:val="Пункт Знак1"/>
    <w:link w:val="1010"/>
    <w:rPr>
      <w:sz w:val="28"/>
      <w:szCs w:val="28"/>
    </w:rPr>
  </w:style>
  <w:style w:type="character" w:styleId="1036" w:customStyle="1">
    <w:name w:val="Подподпункт Знак"/>
    <w:link w:val="1016"/>
    <w:rPr>
      <w:sz w:val="28"/>
      <w:szCs w:val="28"/>
    </w:rPr>
  </w:style>
  <w:style w:type="paragraph" w:styleId="1037" w:customStyle="1">
    <w:name w:val="Нумерованный список1"/>
    <w:basedOn w:val="961"/>
    <w:pPr>
      <w:ind w:firstLine="0"/>
      <w:spacing w:before="60"/>
      <w:tabs>
        <w:tab w:val="num" w:pos="360" w:leader="none"/>
      </w:tabs>
    </w:pPr>
    <w:rPr>
      <w:rFonts w:cs="Calibri"/>
      <w:szCs w:val="24"/>
      <w:lang w:eastAsia="ar-SA"/>
    </w:rPr>
  </w:style>
  <w:style w:type="paragraph" w:styleId="1038" w:customStyle="1">
    <w:name w:val="Times 12"/>
    <w:basedOn w:val="961"/>
    <w:pPr>
      <w:spacing w:line="240" w:lineRule="auto"/>
      <w:widowControl w:val="off"/>
    </w:pPr>
    <w:rPr>
      <w:bCs/>
      <w:sz w:val="24"/>
      <w:szCs w:val="22"/>
    </w:rPr>
  </w:style>
  <w:style w:type="paragraph" w:styleId="1039">
    <w:name w:val="List Bullet 3"/>
    <w:basedOn w:val="961"/>
    <w:uiPriority w:val="99"/>
    <w:unhideWhenUsed/>
    <w:pPr>
      <w:numPr>
        <w:ilvl w:val="0"/>
        <w:numId w:val="11"/>
      </w:numPr>
      <w:contextualSpacing/>
    </w:pPr>
  </w:style>
  <w:style w:type="paragraph" w:styleId="1040" w:customStyle="1">
    <w:name w:val="Основной текст 21"/>
    <w:basedOn w:val="961"/>
    <w:pPr>
      <w:ind w:firstLine="0"/>
      <w:jc w:val="left"/>
      <w:spacing w:line="240" w:lineRule="auto"/>
    </w:pPr>
    <w:rPr>
      <w:sz w:val="24"/>
      <w:szCs w:val="20"/>
      <w:lang w:eastAsia="ar-SA"/>
    </w:rPr>
  </w:style>
  <w:style w:type="paragraph" w:styleId="1041" w:customStyle="1">
    <w:name w:val="Ариал Таблица"/>
    <w:basedOn w:val="961"/>
    <w:pPr>
      <w:ind w:firstLine="0"/>
      <w:spacing w:line="240" w:lineRule="auto"/>
      <w:widowControl w:val="off"/>
    </w:pPr>
    <w:rPr>
      <w:rFonts w:ascii="Arial" w:hAnsi="Arial" w:cs="Arial"/>
      <w:sz w:val="24"/>
      <w:szCs w:val="20"/>
    </w:rPr>
  </w:style>
  <w:style w:type="paragraph" w:styleId="104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43" w:customStyle="1">
    <w:name w:val="Стиль2"/>
    <w:basedOn w:val="1046"/>
    <w:pPr>
      <w:numPr>
        <w:ilvl w:val="0"/>
        <w:numId w:val="0"/>
      </w:numPr>
      <w:contextualSpacing w:val="0"/>
      <w:ind w:left="576" w:hanging="576"/>
      <w:keepLines/>
      <w:keepNext/>
      <w:spacing w:after="60" w:line="240" w:lineRule="auto"/>
      <w:widowControl w:val="off"/>
      <w:tabs>
        <w:tab w:val="num" w:pos="576" w:leader="none"/>
      </w:tabs>
      <w:suppressLineNumbers/>
    </w:pPr>
    <w:rPr>
      <w:b/>
      <w:sz w:val="24"/>
      <w:szCs w:val="20"/>
    </w:rPr>
  </w:style>
  <w:style w:type="paragraph" w:styleId="1044" w:customStyle="1">
    <w:name w:val="Стиль3 Знак"/>
    <w:basedOn w:val="961"/>
    <w:link w:val="1052"/>
    <w:pPr>
      <w:ind w:firstLine="0"/>
      <w:spacing w:line="240" w:lineRule="auto"/>
      <w:widowControl w:val="off"/>
      <w:tabs>
        <w:tab w:val="num" w:pos="227" w:leader="none"/>
      </w:tabs>
    </w:pPr>
    <w:rPr>
      <w:sz w:val="24"/>
      <w:szCs w:val="20"/>
    </w:rPr>
  </w:style>
  <w:style w:type="paragraph" w:styleId="1045">
    <w:name w:val="List Paragraph"/>
    <w:basedOn w:val="961"/>
    <w:link w:val="1057"/>
    <w:uiPriority w:val="34"/>
    <w:qFormat/>
    <w:pPr>
      <w:ind w:left="708"/>
    </w:pPr>
    <w:rPr>
      <w:szCs w:val="20"/>
    </w:rPr>
  </w:style>
  <w:style w:type="paragraph" w:styleId="1046">
    <w:name w:val="List Number 2"/>
    <w:basedOn w:val="961"/>
    <w:uiPriority w:val="99"/>
    <w:semiHidden/>
    <w:unhideWhenUsed/>
    <w:pPr>
      <w:numPr>
        <w:ilvl w:val="0"/>
        <w:numId w:val="13"/>
      </w:numPr>
      <w:contextualSpacing/>
    </w:pPr>
  </w:style>
  <w:style w:type="paragraph" w:styleId="1047">
    <w:name w:val="Body Text 3"/>
    <w:basedOn w:val="961"/>
    <w:link w:val="1048"/>
    <w:pPr>
      <w:spacing w:after="120"/>
    </w:pPr>
    <w:rPr>
      <w:sz w:val="16"/>
      <w:szCs w:val="16"/>
    </w:rPr>
  </w:style>
  <w:style w:type="character" w:styleId="1048" w:customStyle="1">
    <w:name w:val="Основной текст 3 Знак"/>
    <w:link w:val="1047"/>
    <w:rPr>
      <w:sz w:val="16"/>
      <w:szCs w:val="16"/>
    </w:rPr>
  </w:style>
  <w:style w:type="paragraph" w:styleId="1049">
    <w:name w:val="HTML Preformatted"/>
    <w:basedOn w:val="961"/>
    <w:link w:val="1050"/>
    <w:pPr>
      <w:ind w:firstLine="0"/>
      <w:jc w:val="left"/>
      <w:spacing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Arial Unicode MS"/>
      <w:sz w:val="20"/>
      <w:szCs w:val="20"/>
    </w:rPr>
  </w:style>
  <w:style w:type="character" w:styleId="1050" w:customStyle="1">
    <w:name w:val="Стандартный HTML Знак"/>
    <w:link w:val="1049"/>
    <w:rPr>
      <w:rFonts w:ascii="Courier New" w:hAnsi="Courier New" w:eastAsia="Arial Unicode MS" w:cs="Courier New"/>
    </w:rPr>
  </w:style>
  <w:style w:type="paragraph" w:styleId="1051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character" w:styleId="1052" w:customStyle="1">
    <w:name w:val="Стиль3 Знак Знак"/>
    <w:link w:val="1044"/>
    <w:rPr>
      <w:sz w:val="24"/>
    </w:rPr>
  </w:style>
  <w:style w:type="paragraph" w:styleId="1053" w:customStyle="1">
    <w:name w:val="Пункт2"/>
    <w:basedOn w:val="1010"/>
    <w:pPr>
      <w:numPr>
        <w:ilvl w:val="0"/>
        <w:numId w:val="1"/>
      </w:numPr>
      <w:jc w:val="left"/>
      <w:keepNext/>
      <w:spacing w:before="240" w:after="120" w:line="240" w:lineRule="auto"/>
      <w:outlineLvl w:val="2"/>
    </w:pPr>
    <w:rPr>
      <w:b/>
      <w:szCs w:val="20"/>
      <w:lang w:val="ru-RU" w:eastAsia="ru-RU"/>
    </w:rPr>
  </w:style>
  <w:style w:type="character" w:styleId="1054" w:customStyle="1">
    <w:name w:val="Подпункт Знак1"/>
    <w:link w:val="1012"/>
    <w:rPr>
      <w:sz w:val="28"/>
      <w:szCs w:val="28"/>
    </w:rPr>
  </w:style>
  <w:style w:type="character" w:styleId="1055" w:customStyle="1">
    <w:name w:val="Символ сноски"/>
    <w:rPr>
      <w:vertAlign w:val="superscript"/>
    </w:rPr>
  </w:style>
  <w:style w:type="character" w:styleId="1056" w:customStyle="1">
    <w:name w:val="Пункт Знак1 Знак1"/>
    <w:rPr>
      <w:sz w:val="28"/>
    </w:rPr>
  </w:style>
  <w:style w:type="character" w:styleId="1057" w:customStyle="1">
    <w:name w:val="Абзац списка Знак"/>
    <w:link w:val="1045"/>
    <w:uiPriority w:val="34"/>
    <w:qFormat/>
    <w:rPr>
      <w:sz w:val="28"/>
    </w:rPr>
  </w:style>
  <w:style w:type="table" w:styleId="1058">
    <w:name w:val="Table Grid"/>
    <w:basedOn w:val="972"/>
    <w:uiPriority w:val="39"/>
    <w:rPr>
      <w:rFonts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59" w:customStyle="1">
    <w:name w:val="Неразрешенное упоминание1"/>
    <w:basedOn w:val="971"/>
    <w:uiPriority w:val="99"/>
    <w:semiHidden/>
    <w:unhideWhenUsed/>
    <w:rPr>
      <w:color w:val="605e5c"/>
      <w:shd w:val="clear" w:color="auto" w:fill="e1dfdd"/>
    </w:rPr>
  </w:style>
  <w:style w:type="character" w:styleId="1060">
    <w:name w:val="Placeholder Text"/>
    <w:basedOn w:val="971"/>
    <w:uiPriority w:val="99"/>
    <w:semiHidden/>
    <w:rPr>
      <w:color w:val="80808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header" Target="header3.xml" /><Relationship Id="rId13" Type="http://schemas.openxmlformats.org/officeDocument/2006/relationships/header" Target="header4.xm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customXml" Target="../customXml/item1.xml" /><Relationship Id="rId17" Type="http://schemas.openxmlformats.org/officeDocument/2006/relationships/customXml" Target="../customXml/item2.xml" /><Relationship Id="rId18" Type="http://schemas.openxmlformats.org/officeDocument/2006/relationships/customXml" Target="../customXml/item3.xml" /><Relationship Id="rId19" Type="http://schemas.openxmlformats.org/officeDocument/2006/relationships/customXml" Target="../customXml/item4.xml" /><Relationship Id="rId20" Type="http://schemas.openxmlformats.org/officeDocument/2006/relationships/hyperlink" Target="http://zakupki.gov.ru" TargetMode="External"/><Relationship Id="rId21" Type="http://schemas.openxmlformats.org/officeDocument/2006/relationships/hyperlink" Target="https://tender.lot-online.ru" TargetMode="External"/><Relationship Id="rId22" Type="http://schemas.openxmlformats.org/officeDocument/2006/relationships/hyperlink" Target="http://zakupki.gov.ru" TargetMode="External"/><Relationship Id="rId23" Type="http://schemas.openxmlformats.org/officeDocument/2006/relationships/hyperlink" Target="mailto:Musin.AG@lenenerg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C5E094-11C3-49E0-876D-9A4E080DBBB8}"/>
      </w:docPartPr>
      <w:docPartBody>
        <w:p>
          <w:pPr>
            <w:pStyle w:val="1737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90A8278D82B84D1DAA04A217EDF587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94F5C2-3214-471B-9604-501842C36392}"/>
      </w:docPartPr>
      <w:docPartBody>
        <w:p>
          <w:pPr>
            <w:pStyle w:val="1736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c9f140cc06f04b0c86cf76635ceddf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pPr>
            <w:pStyle w:val="1746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BDC0E268D7924BDFB5DAADDEF6B14F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92C7FA-2736-4854-A6E5-F2C10F94BB07}"/>
      </w:docPartPr>
      <w:docPartBody>
        <w:p>
          <w:pPr>
            <w:pStyle w:val="1746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411E684D148E40E5958AB812891B7F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9EA62E-43A9-4E9A-A678-49A1F80AF016}"/>
      </w:docPartPr>
      <w:docPartBody>
        <w:p>
          <w:pPr>
            <w:pStyle w:val="1740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D6BA82AEF676416597E033A134F4AB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A4567B-120C-4AA7-AEAB-8F368D7DFA41}"/>
      </w:docPartPr>
      <w:docPartBody>
        <w:p>
          <w:pPr>
            <w:pStyle w:val="1713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E991D248396B425F9A84766A6DB4D2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DAF191-147C-4A6A-A8F6-9D69AD8C9545}"/>
      </w:docPartPr>
      <w:docPartBody>
        <w:p>
          <w:pPr>
            <w:pStyle w:val="1714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FECC7AEED5F04ACDAD24C0BB036032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93FCC2-6F4C-488F-AC20-1DEB1DECC7A7}"/>
      </w:docPartPr>
      <w:docPartBody>
        <w:p>
          <w:pPr>
            <w:pStyle w:val="1715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3C9AE386FA364E40A13F2A0999ECA2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8C6288-37CB-46E7-A375-0BDFFD054169}"/>
      </w:docPartPr>
      <w:docPartBody>
        <w:p>
          <w:pPr>
            <w:pStyle w:val="1716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B60EF0BF4E664FF68A46F0B44E9B38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CF9695-2001-48B2-8F8C-0900E6355BC2}"/>
      </w:docPartPr>
      <w:docPartBody>
        <w:p>
          <w:pPr>
            <w:pStyle w:val="1717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A249608846144580911DDF40F6BAB7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53E465-A4BF-45F4-BE05-012798B7235A}"/>
      </w:docPartPr>
      <w:docPartBody>
        <w:p>
          <w:pPr>
            <w:pStyle w:val="1718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427B9CD5AA844643A9873B11EDF1D4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9DCB72-AA29-4B2D-816B-CC80B768457A}"/>
      </w:docPartPr>
      <w:docPartBody>
        <w:p>
          <w:pPr>
            <w:pStyle w:val="1719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3A3E3E1E128643949FB243F7617F8C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0D8BB3-27C1-4CC6-81B2-604B05132CB9}"/>
      </w:docPartPr>
      <w:docPartBody>
        <w:p>
          <w:pPr>
            <w:pStyle w:val="1720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720A289EF0F84CF0AF0D07DCB49D7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F768D9-357B-40EC-879A-BFFA04B3B5C4}"/>
      </w:docPartPr>
      <w:docPartBody>
        <w:p>
          <w:pPr>
            <w:pStyle w:val="1748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22473156EDBC4E9C88E2E771C6D0E8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01C0E7-D0F8-4673-9571-497394C9F331}"/>
      </w:docPartPr>
      <w:docPartBody>
        <w:p>
          <w:pPr>
            <w:pStyle w:val="1721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582BAA6FD935433EA4461F3B1CD5D1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28599F-8A31-4B54-A88E-DE67F488FD5B}"/>
      </w:docPartPr>
      <w:docPartBody>
        <w:p>
          <w:pPr>
            <w:pStyle w:val="1722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3091E3B201A44E5781130AF4DEFDA9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EC0B1-2A89-40A5-A810-4E1AE2369FA6}"/>
      </w:docPartPr>
      <w:docPartBody>
        <w:p>
          <w:pPr>
            <w:pStyle w:val="1723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571347FB2C11422E85EA085A6C1E6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48EA93-185B-441B-B7DD-F181BD9AF402}"/>
      </w:docPartPr>
      <w:docPartBody>
        <w:p>
          <w:pPr>
            <w:pStyle w:val="1724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458EC6C3736843ED82E8870A7FCDCA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F8D139-1533-46E0-8897-497C2534D5AA}"/>
      </w:docPartPr>
      <w:docPartBody>
        <w:p>
          <w:pPr>
            <w:pStyle w:val="1749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82ca410b321645918faf041d4b2960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Место для ввода текста.</w:t>
          </w:r>
          <w:r/>
        </w:p>
      </w:docPartBody>
    </w:docPart>
    <w:docPart>
      <w:docPartPr>
        <w:name w:val="7C06FB0B30D04183975BF557DBA87E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99A8AA-7C93-445C-BA7E-92003EAD9EFE}"/>
      </w:docPartPr>
      <w:docPartBody>
        <w:p>
          <w:pPr>
            <w:pStyle w:val="1725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ACC61602C4D741C0A39F723076793F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1E4E94-7AB5-4F57-87EF-A0096F242BB9}"/>
      </w:docPartPr>
      <w:docPartBody>
        <w:p>
          <w:pPr>
            <w:pStyle w:val="1726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878C06AB86554DB489776823D490AC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9DB550-9554-49A6-B570-E475023D0786}"/>
      </w:docPartPr>
      <w:docPartBody>
        <w:p>
          <w:pPr>
            <w:pStyle w:val="1738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  <w:docPart>
      <w:docPartPr>
        <w:name w:val="87ae557008eb47dd9113da05ecd3a4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Место для ввода текста.</w:t>
          </w:r>
          <w:r/>
        </w:p>
      </w:docPartBody>
    </w:docPart>
    <w:docPart>
      <w:docPartPr>
        <w:name w:val="a88af47f55044a7b9395808dbc8854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Место для ввода текста.</w:t>
          </w:r>
          <w:r/>
        </w:p>
      </w:docPartBody>
    </w:docPart>
    <w:docPart>
      <w:docPartPr>
        <w:name w:val="274FD4686E844948B838D7580A3F0E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A1B875-EC6F-4FFB-9972-64B5FBDEE27F}"/>
      </w:docPartPr>
      <w:docPartBody>
        <w:p>
          <w:pPr>
            <w:pStyle w:val="1729"/>
          </w:pPr>
          <w:r>
            <w:rPr>
              <w:rStyle w:val="1711"/>
            </w:rPr>
            <w:t xml:space="preserve">Место для ввода текста.</w:t>
          </w:r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529">
    <w:name w:val="Heading 1"/>
    <w:basedOn w:val="1707"/>
    <w:next w:val="1707"/>
    <w:link w:val="15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530">
    <w:name w:val="Heading 1 Char"/>
    <w:basedOn w:val="1708"/>
    <w:link w:val="1529"/>
    <w:uiPriority w:val="9"/>
    <w:rPr>
      <w:rFonts w:ascii="Arial" w:hAnsi="Arial" w:eastAsia="Arial" w:cs="Arial"/>
      <w:sz w:val="40"/>
      <w:szCs w:val="40"/>
    </w:rPr>
  </w:style>
  <w:style w:type="paragraph" w:styleId="1531">
    <w:name w:val="Heading 2"/>
    <w:basedOn w:val="1707"/>
    <w:next w:val="1707"/>
    <w:link w:val="15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32">
    <w:name w:val="Heading 2 Char"/>
    <w:basedOn w:val="1708"/>
    <w:link w:val="1531"/>
    <w:uiPriority w:val="9"/>
    <w:rPr>
      <w:rFonts w:ascii="Arial" w:hAnsi="Arial" w:eastAsia="Arial" w:cs="Arial"/>
      <w:sz w:val="34"/>
    </w:rPr>
  </w:style>
  <w:style w:type="paragraph" w:styleId="1533">
    <w:name w:val="Heading 3"/>
    <w:basedOn w:val="1707"/>
    <w:next w:val="1707"/>
    <w:link w:val="15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534">
    <w:name w:val="Heading 3 Char"/>
    <w:basedOn w:val="1708"/>
    <w:link w:val="1533"/>
    <w:uiPriority w:val="9"/>
    <w:rPr>
      <w:rFonts w:ascii="Arial" w:hAnsi="Arial" w:eastAsia="Arial" w:cs="Arial"/>
      <w:sz w:val="30"/>
      <w:szCs w:val="30"/>
    </w:rPr>
  </w:style>
  <w:style w:type="paragraph" w:styleId="1535">
    <w:name w:val="Heading 4"/>
    <w:basedOn w:val="1707"/>
    <w:next w:val="1707"/>
    <w:link w:val="15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536">
    <w:name w:val="Heading 4 Char"/>
    <w:basedOn w:val="1708"/>
    <w:link w:val="1535"/>
    <w:uiPriority w:val="9"/>
    <w:rPr>
      <w:rFonts w:ascii="Arial" w:hAnsi="Arial" w:eastAsia="Arial" w:cs="Arial"/>
      <w:b/>
      <w:bCs/>
      <w:sz w:val="26"/>
      <w:szCs w:val="26"/>
    </w:rPr>
  </w:style>
  <w:style w:type="paragraph" w:styleId="1537">
    <w:name w:val="Heading 5"/>
    <w:basedOn w:val="1707"/>
    <w:next w:val="1707"/>
    <w:link w:val="15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538">
    <w:name w:val="Heading 5 Char"/>
    <w:basedOn w:val="1708"/>
    <w:link w:val="1537"/>
    <w:uiPriority w:val="9"/>
    <w:rPr>
      <w:rFonts w:ascii="Arial" w:hAnsi="Arial" w:eastAsia="Arial" w:cs="Arial"/>
      <w:b/>
      <w:bCs/>
      <w:sz w:val="24"/>
      <w:szCs w:val="24"/>
    </w:rPr>
  </w:style>
  <w:style w:type="paragraph" w:styleId="1539">
    <w:name w:val="Heading 6"/>
    <w:basedOn w:val="1707"/>
    <w:next w:val="1707"/>
    <w:link w:val="15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540">
    <w:name w:val="Heading 6 Char"/>
    <w:basedOn w:val="1708"/>
    <w:link w:val="1539"/>
    <w:uiPriority w:val="9"/>
    <w:rPr>
      <w:rFonts w:ascii="Arial" w:hAnsi="Arial" w:eastAsia="Arial" w:cs="Arial"/>
      <w:b/>
      <w:bCs/>
      <w:sz w:val="22"/>
      <w:szCs w:val="22"/>
    </w:rPr>
  </w:style>
  <w:style w:type="paragraph" w:styleId="1541">
    <w:name w:val="Heading 7"/>
    <w:basedOn w:val="1707"/>
    <w:next w:val="1707"/>
    <w:link w:val="15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542">
    <w:name w:val="Heading 7 Char"/>
    <w:basedOn w:val="1708"/>
    <w:link w:val="15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543">
    <w:name w:val="Heading 8"/>
    <w:basedOn w:val="1707"/>
    <w:next w:val="1707"/>
    <w:link w:val="15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544">
    <w:name w:val="Heading 8 Char"/>
    <w:basedOn w:val="1708"/>
    <w:link w:val="1543"/>
    <w:uiPriority w:val="9"/>
    <w:rPr>
      <w:rFonts w:ascii="Arial" w:hAnsi="Arial" w:eastAsia="Arial" w:cs="Arial"/>
      <w:i/>
      <w:iCs/>
      <w:sz w:val="22"/>
      <w:szCs w:val="22"/>
    </w:rPr>
  </w:style>
  <w:style w:type="paragraph" w:styleId="1545">
    <w:name w:val="Heading 9"/>
    <w:basedOn w:val="1707"/>
    <w:next w:val="1707"/>
    <w:link w:val="15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546">
    <w:name w:val="Heading 9 Char"/>
    <w:basedOn w:val="1708"/>
    <w:link w:val="1545"/>
    <w:uiPriority w:val="9"/>
    <w:rPr>
      <w:rFonts w:ascii="Arial" w:hAnsi="Arial" w:eastAsia="Arial" w:cs="Arial"/>
      <w:i/>
      <w:iCs/>
      <w:sz w:val="21"/>
      <w:szCs w:val="21"/>
    </w:rPr>
  </w:style>
  <w:style w:type="paragraph" w:styleId="1547">
    <w:name w:val="List Paragraph"/>
    <w:basedOn w:val="1707"/>
    <w:uiPriority w:val="34"/>
    <w:qFormat/>
    <w:pPr>
      <w:contextualSpacing/>
      <w:ind w:left="720"/>
    </w:pPr>
  </w:style>
  <w:style w:type="paragraph" w:styleId="1548">
    <w:name w:val="No Spacing"/>
    <w:uiPriority w:val="1"/>
    <w:qFormat/>
    <w:pPr>
      <w:spacing w:before="0" w:after="0" w:line="240" w:lineRule="auto"/>
    </w:pPr>
  </w:style>
  <w:style w:type="paragraph" w:styleId="1549">
    <w:name w:val="Title"/>
    <w:basedOn w:val="1707"/>
    <w:next w:val="1707"/>
    <w:link w:val="15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550">
    <w:name w:val="Title Char"/>
    <w:basedOn w:val="1708"/>
    <w:link w:val="1549"/>
    <w:uiPriority w:val="10"/>
    <w:rPr>
      <w:sz w:val="48"/>
      <w:szCs w:val="48"/>
    </w:rPr>
  </w:style>
  <w:style w:type="paragraph" w:styleId="1551">
    <w:name w:val="Subtitle"/>
    <w:basedOn w:val="1707"/>
    <w:next w:val="1707"/>
    <w:link w:val="1552"/>
    <w:uiPriority w:val="11"/>
    <w:qFormat/>
    <w:pPr>
      <w:spacing w:before="200" w:after="200"/>
    </w:pPr>
    <w:rPr>
      <w:sz w:val="24"/>
      <w:szCs w:val="24"/>
    </w:rPr>
  </w:style>
  <w:style w:type="character" w:styleId="1552">
    <w:name w:val="Subtitle Char"/>
    <w:basedOn w:val="1708"/>
    <w:link w:val="1551"/>
    <w:uiPriority w:val="11"/>
    <w:rPr>
      <w:sz w:val="24"/>
      <w:szCs w:val="24"/>
    </w:rPr>
  </w:style>
  <w:style w:type="paragraph" w:styleId="1553">
    <w:name w:val="Quote"/>
    <w:basedOn w:val="1707"/>
    <w:next w:val="1707"/>
    <w:link w:val="1554"/>
    <w:uiPriority w:val="29"/>
    <w:qFormat/>
    <w:pPr>
      <w:ind w:left="720" w:right="720"/>
    </w:pPr>
    <w:rPr>
      <w:i/>
    </w:rPr>
  </w:style>
  <w:style w:type="character" w:styleId="1554">
    <w:name w:val="Quote Char"/>
    <w:link w:val="1553"/>
    <w:uiPriority w:val="29"/>
    <w:rPr>
      <w:i/>
    </w:rPr>
  </w:style>
  <w:style w:type="paragraph" w:styleId="1555">
    <w:name w:val="Intense Quote"/>
    <w:basedOn w:val="1707"/>
    <w:next w:val="1707"/>
    <w:link w:val="15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556">
    <w:name w:val="Intense Quote Char"/>
    <w:link w:val="1555"/>
    <w:uiPriority w:val="30"/>
    <w:rPr>
      <w:i/>
    </w:rPr>
  </w:style>
  <w:style w:type="paragraph" w:styleId="1557">
    <w:name w:val="Header"/>
    <w:basedOn w:val="1707"/>
    <w:link w:val="15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58">
    <w:name w:val="Header Char"/>
    <w:basedOn w:val="1708"/>
    <w:link w:val="1557"/>
    <w:uiPriority w:val="99"/>
  </w:style>
  <w:style w:type="paragraph" w:styleId="1559">
    <w:name w:val="Footer"/>
    <w:basedOn w:val="1707"/>
    <w:link w:val="15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60">
    <w:name w:val="Footer Char"/>
    <w:basedOn w:val="1708"/>
    <w:link w:val="1559"/>
    <w:uiPriority w:val="99"/>
  </w:style>
  <w:style w:type="paragraph" w:styleId="1561">
    <w:name w:val="Caption"/>
    <w:basedOn w:val="1707"/>
    <w:next w:val="1707"/>
    <w:link w:val="15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562">
    <w:name w:val="Caption Char"/>
    <w:basedOn w:val="1561"/>
    <w:link w:val="1559"/>
    <w:uiPriority w:val="99"/>
  </w:style>
  <w:style w:type="table" w:styleId="1563">
    <w:name w:val="Table Grid"/>
    <w:basedOn w:val="170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564">
    <w:name w:val="Table Grid Light"/>
    <w:basedOn w:val="17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565">
    <w:name w:val="Plain Table 1"/>
    <w:basedOn w:val="17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66">
    <w:name w:val="Plain Table 2"/>
    <w:basedOn w:val="17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67">
    <w:name w:val="Plain Table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568">
    <w:name w:val="Plain Table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69">
    <w:name w:val="Plain Table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570">
    <w:name w:val="Grid Table 1 Light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1">
    <w:name w:val="Grid Table 1 Light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2">
    <w:name w:val="Grid Table 1 Light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3">
    <w:name w:val="Grid Table 1 Light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4">
    <w:name w:val="Grid Table 1 Light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5">
    <w:name w:val="Grid Table 1 Light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6">
    <w:name w:val="Grid Table 1 Light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7">
    <w:name w:val="Grid Table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8">
    <w:name w:val="Grid Table 2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79">
    <w:name w:val="Grid Table 2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0">
    <w:name w:val="Grid Table 2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1">
    <w:name w:val="Grid Table 2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2">
    <w:name w:val="Grid Table 2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3">
    <w:name w:val="Grid Table 2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4">
    <w:name w:val="Grid Table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5">
    <w:name w:val="Grid Table 3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6">
    <w:name w:val="Grid Table 3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7">
    <w:name w:val="Grid Table 3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8">
    <w:name w:val="Grid Table 3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9">
    <w:name w:val="Grid Table 3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0">
    <w:name w:val="Grid Table 3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1">
    <w:name w:val="Grid Table 4"/>
    <w:basedOn w:val="1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592">
    <w:name w:val="Grid Table 4 - Accent 1"/>
    <w:basedOn w:val="1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593">
    <w:name w:val="Grid Table 4 - Accent 2"/>
    <w:basedOn w:val="1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594">
    <w:name w:val="Grid Table 4 - Accent 3"/>
    <w:basedOn w:val="1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595">
    <w:name w:val="Grid Table 4 - Accent 4"/>
    <w:basedOn w:val="1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596">
    <w:name w:val="Grid Table 4 - Accent 5"/>
    <w:basedOn w:val="1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597">
    <w:name w:val="Grid Table 4 - Accent 6"/>
    <w:basedOn w:val="1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598">
    <w:name w:val="Grid Table 5 Dark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599">
    <w:name w:val="Grid Table 5 Dark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600">
    <w:name w:val="Grid Table 5 Dark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601">
    <w:name w:val="Grid Table 5 Dark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602">
    <w:name w:val="Grid Table 5 Dark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603">
    <w:name w:val="Grid Table 5 Dark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604">
    <w:name w:val="Grid Table 5 Dark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605">
    <w:name w:val="Grid Table 6 Colorful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606">
    <w:name w:val="Grid Table 6 Colorful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607">
    <w:name w:val="Grid Table 6 Colorful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608">
    <w:name w:val="Grid Table 6 Colorful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609">
    <w:name w:val="Grid Table 6 Colorful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610">
    <w:name w:val="Grid Table 6 Colorful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611">
    <w:name w:val="Grid Table 6 Colorful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612">
    <w:name w:val="Grid Table 7 Colorful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3">
    <w:name w:val="Grid Table 7 Colorful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4">
    <w:name w:val="Grid Table 7 Colorful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5">
    <w:name w:val="Grid Table 7 Colorful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6">
    <w:name w:val="Grid Table 7 Colorful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7">
    <w:name w:val="Grid Table 7 Colorful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8">
    <w:name w:val="Grid Table 7 Colorful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9">
    <w:name w:val="List Table 1 Light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0">
    <w:name w:val="List Table 1 Light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1">
    <w:name w:val="List Table 1 Light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2">
    <w:name w:val="List Table 1 Light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3">
    <w:name w:val="List Table 1 Light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4">
    <w:name w:val="List Table 1 Light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5">
    <w:name w:val="List Table 1 Light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6">
    <w:name w:val="List Table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627">
    <w:name w:val="List Table 2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628">
    <w:name w:val="List Table 2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629">
    <w:name w:val="List Table 2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630">
    <w:name w:val="List Table 2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631">
    <w:name w:val="List Table 2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632">
    <w:name w:val="List Table 2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633">
    <w:name w:val="List Table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4">
    <w:name w:val="List Table 3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5">
    <w:name w:val="List Table 3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6">
    <w:name w:val="List Table 3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7">
    <w:name w:val="List Table 3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8">
    <w:name w:val="List Table 3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39">
    <w:name w:val="List Table 3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0">
    <w:name w:val="List Table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1">
    <w:name w:val="List Table 4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2">
    <w:name w:val="List Table 4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3">
    <w:name w:val="List Table 4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4">
    <w:name w:val="List Table 4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5">
    <w:name w:val="List Table 4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6">
    <w:name w:val="List Table 4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47">
    <w:name w:val="List Table 5 Dark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48">
    <w:name w:val="List Table 5 Dark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49">
    <w:name w:val="List Table 5 Dark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50">
    <w:name w:val="List Table 5 Dark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51">
    <w:name w:val="List Table 5 Dark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52">
    <w:name w:val="List Table 5 Dark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53">
    <w:name w:val="List Table 5 Dark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54">
    <w:name w:val="List Table 6 Colorful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655">
    <w:name w:val="List Table 6 Colorful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656">
    <w:name w:val="List Table 6 Colorful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657">
    <w:name w:val="List Table 6 Colorful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658">
    <w:name w:val="List Table 6 Colorful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659">
    <w:name w:val="List Table 6 Colorful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660">
    <w:name w:val="List Table 6 Colorful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661">
    <w:name w:val="List Table 7 Colorful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662">
    <w:name w:val="List Table 7 Colorful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663">
    <w:name w:val="List Table 7 Colorful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664">
    <w:name w:val="List Table 7 Colorful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665">
    <w:name w:val="List Table 7 Colorful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666">
    <w:name w:val="List Table 7 Colorful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667">
    <w:name w:val="List Table 7 Colorful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668">
    <w:name w:val="Lined - Accent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69">
    <w:name w:val="Lined - Accent 1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70">
    <w:name w:val="Lined - Accent 2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71">
    <w:name w:val="Lined - Accent 3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72">
    <w:name w:val="Lined - Accent 4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73">
    <w:name w:val="Lined - Accent 5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74">
    <w:name w:val="Lined - Accent 6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5">
    <w:name w:val="Bordered &amp; Lined - Accent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76">
    <w:name w:val="Bordered &amp; Lined - Accent 1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77">
    <w:name w:val="Bordered &amp; Lined - Accent 2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78">
    <w:name w:val="Bordered &amp; Lined - Accent 3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79">
    <w:name w:val="Bordered &amp; Lined - Accent 4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80">
    <w:name w:val="Bordered &amp; Lined - Accent 5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81">
    <w:name w:val="Bordered &amp; Lined - Accent 6"/>
    <w:basedOn w:val="1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2">
    <w:name w:val="Bordered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3">
    <w:name w:val="Bordered - Accent 1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4">
    <w:name w:val="Bordered - Accent 2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5">
    <w:name w:val="Bordered - Accent 3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86">
    <w:name w:val="Bordered - Accent 4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687">
    <w:name w:val="Bordered - Accent 5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688">
    <w:name w:val="Bordered - Accent 6"/>
    <w:basedOn w:val="1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689">
    <w:name w:val="Hyperlink"/>
    <w:uiPriority w:val="99"/>
    <w:unhideWhenUsed/>
    <w:rPr>
      <w:color w:val="0000ff" w:themeColor="hyperlink"/>
      <w:u w:val="single"/>
    </w:rPr>
  </w:style>
  <w:style w:type="paragraph" w:styleId="1690">
    <w:name w:val="footnote text"/>
    <w:basedOn w:val="1707"/>
    <w:link w:val="1691"/>
    <w:uiPriority w:val="99"/>
    <w:semiHidden/>
    <w:unhideWhenUsed/>
    <w:pPr>
      <w:spacing w:after="40" w:line="240" w:lineRule="auto"/>
    </w:pPr>
    <w:rPr>
      <w:sz w:val="18"/>
    </w:rPr>
  </w:style>
  <w:style w:type="character" w:styleId="1691">
    <w:name w:val="Footnote Text Char"/>
    <w:link w:val="1690"/>
    <w:uiPriority w:val="99"/>
    <w:rPr>
      <w:sz w:val="18"/>
    </w:rPr>
  </w:style>
  <w:style w:type="character" w:styleId="1692">
    <w:name w:val="footnote reference"/>
    <w:basedOn w:val="1708"/>
    <w:uiPriority w:val="99"/>
    <w:unhideWhenUsed/>
    <w:rPr>
      <w:vertAlign w:val="superscript"/>
    </w:rPr>
  </w:style>
  <w:style w:type="paragraph" w:styleId="1693">
    <w:name w:val="endnote text"/>
    <w:basedOn w:val="1707"/>
    <w:link w:val="1694"/>
    <w:uiPriority w:val="99"/>
    <w:semiHidden/>
    <w:unhideWhenUsed/>
    <w:pPr>
      <w:spacing w:after="0" w:line="240" w:lineRule="auto"/>
    </w:pPr>
    <w:rPr>
      <w:sz w:val="20"/>
    </w:rPr>
  </w:style>
  <w:style w:type="character" w:styleId="1694">
    <w:name w:val="Endnote Text Char"/>
    <w:link w:val="1693"/>
    <w:uiPriority w:val="99"/>
    <w:rPr>
      <w:sz w:val="20"/>
    </w:rPr>
  </w:style>
  <w:style w:type="character" w:styleId="1695">
    <w:name w:val="endnote reference"/>
    <w:basedOn w:val="1708"/>
    <w:uiPriority w:val="99"/>
    <w:semiHidden/>
    <w:unhideWhenUsed/>
    <w:rPr>
      <w:vertAlign w:val="superscript"/>
    </w:rPr>
  </w:style>
  <w:style w:type="paragraph" w:styleId="1696">
    <w:name w:val="toc 1"/>
    <w:basedOn w:val="1707"/>
    <w:next w:val="1707"/>
    <w:uiPriority w:val="39"/>
    <w:unhideWhenUsed/>
    <w:pPr>
      <w:ind w:left="0" w:right="0" w:firstLine="0"/>
      <w:spacing w:after="57"/>
    </w:pPr>
  </w:style>
  <w:style w:type="paragraph" w:styleId="1697">
    <w:name w:val="toc 2"/>
    <w:basedOn w:val="1707"/>
    <w:next w:val="1707"/>
    <w:uiPriority w:val="39"/>
    <w:unhideWhenUsed/>
    <w:pPr>
      <w:ind w:left="283" w:right="0" w:firstLine="0"/>
      <w:spacing w:after="57"/>
    </w:pPr>
  </w:style>
  <w:style w:type="paragraph" w:styleId="1698">
    <w:name w:val="toc 3"/>
    <w:basedOn w:val="1707"/>
    <w:next w:val="1707"/>
    <w:uiPriority w:val="39"/>
    <w:unhideWhenUsed/>
    <w:pPr>
      <w:ind w:left="567" w:right="0" w:firstLine="0"/>
      <w:spacing w:after="57"/>
    </w:pPr>
  </w:style>
  <w:style w:type="paragraph" w:styleId="1699">
    <w:name w:val="toc 4"/>
    <w:basedOn w:val="1707"/>
    <w:next w:val="1707"/>
    <w:uiPriority w:val="39"/>
    <w:unhideWhenUsed/>
    <w:pPr>
      <w:ind w:left="850" w:right="0" w:firstLine="0"/>
      <w:spacing w:after="57"/>
    </w:pPr>
  </w:style>
  <w:style w:type="paragraph" w:styleId="1700">
    <w:name w:val="toc 5"/>
    <w:basedOn w:val="1707"/>
    <w:next w:val="1707"/>
    <w:uiPriority w:val="39"/>
    <w:unhideWhenUsed/>
    <w:pPr>
      <w:ind w:left="1134" w:right="0" w:firstLine="0"/>
      <w:spacing w:after="57"/>
    </w:pPr>
  </w:style>
  <w:style w:type="paragraph" w:styleId="1701">
    <w:name w:val="toc 6"/>
    <w:basedOn w:val="1707"/>
    <w:next w:val="1707"/>
    <w:uiPriority w:val="39"/>
    <w:unhideWhenUsed/>
    <w:pPr>
      <w:ind w:left="1417" w:right="0" w:firstLine="0"/>
      <w:spacing w:after="57"/>
    </w:pPr>
  </w:style>
  <w:style w:type="paragraph" w:styleId="1702">
    <w:name w:val="toc 7"/>
    <w:basedOn w:val="1707"/>
    <w:next w:val="1707"/>
    <w:uiPriority w:val="39"/>
    <w:unhideWhenUsed/>
    <w:pPr>
      <w:ind w:left="1701" w:right="0" w:firstLine="0"/>
      <w:spacing w:after="57"/>
    </w:pPr>
  </w:style>
  <w:style w:type="paragraph" w:styleId="1703">
    <w:name w:val="toc 8"/>
    <w:basedOn w:val="1707"/>
    <w:next w:val="1707"/>
    <w:uiPriority w:val="39"/>
    <w:unhideWhenUsed/>
    <w:pPr>
      <w:ind w:left="1984" w:right="0" w:firstLine="0"/>
      <w:spacing w:after="57"/>
    </w:pPr>
  </w:style>
  <w:style w:type="paragraph" w:styleId="1704">
    <w:name w:val="toc 9"/>
    <w:basedOn w:val="1707"/>
    <w:next w:val="1707"/>
    <w:uiPriority w:val="39"/>
    <w:unhideWhenUsed/>
    <w:pPr>
      <w:ind w:left="2268" w:right="0" w:firstLine="0"/>
      <w:spacing w:after="57"/>
    </w:pPr>
  </w:style>
  <w:style w:type="paragraph" w:styleId="1705">
    <w:name w:val="TOC Heading"/>
    <w:uiPriority w:val="39"/>
    <w:unhideWhenUsed/>
  </w:style>
  <w:style w:type="paragraph" w:styleId="1706">
    <w:name w:val="table of figures"/>
    <w:basedOn w:val="1707"/>
    <w:next w:val="1707"/>
    <w:uiPriority w:val="99"/>
    <w:unhideWhenUsed/>
    <w:pPr>
      <w:spacing w:after="0" w:afterAutospacing="0"/>
    </w:pPr>
  </w:style>
  <w:style w:type="paragraph" w:styleId="1707" w:default="1">
    <w:name w:val="Normal"/>
    <w:qFormat/>
  </w:style>
  <w:style w:type="character" w:styleId="1708" w:default="1">
    <w:name w:val="Default Paragraph Font"/>
    <w:uiPriority w:val="1"/>
    <w:semiHidden/>
    <w:unhideWhenUsed/>
  </w:style>
  <w:style w:type="table" w:styleId="17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710" w:default="1">
    <w:name w:val="No List"/>
    <w:uiPriority w:val="99"/>
    <w:semiHidden/>
    <w:unhideWhenUsed/>
  </w:style>
  <w:style w:type="character" w:styleId="1711">
    <w:name w:val="Placeholder Text"/>
    <w:basedOn w:val="1708"/>
    <w:uiPriority w:val="99"/>
    <w:semiHidden/>
    <w:rPr>
      <w:color w:val="808080"/>
    </w:rPr>
  </w:style>
  <w:style w:type="paragraph" w:styleId="1712" w:customStyle="1">
    <w:name w:val="737C19382AA74C28BFECB68A7F244D32"/>
  </w:style>
  <w:style w:type="paragraph" w:styleId="1713" w:customStyle="1">
    <w:name w:val="D6BA82AEF676416597E033A134F4AB11"/>
  </w:style>
  <w:style w:type="paragraph" w:styleId="1714" w:customStyle="1">
    <w:name w:val="E991D248396B425F9A84766A6DB4D251"/>
  </w:style>
  <w:style w:type="paragraph" w:styleId="1715" w:customStyle="1">
    <w:name w:val="FECC7AEED5F04ACDAD24C0BB036032A7"/>
  </w:style>
  <w:style w:type="paragraph" w:styleId="1716" w:customStyle="1">
    <w:name w:val="3C9AE386FA364E40A13F2A0999ECA287"/>
  </w:style>
  <w:style w:type="paragraph" w:styleId="1717" w:customStyle="1">
    <w:name w:val="B60EF0BF4E664FF68A46F0B44E9B38CA"/>
  </w:style>
  <w:style w:type="paragraph" w:styleId="1718" w:customStyle="1">
    <w:name w:val="A249608846144580911DDF40F6BAB79B"/>
  </w:style>
  <w:style w:type="paragraph" w:styleId="1719" w:customStyle="1">
    <w:name w:val="427B9CD5AA844643A9873B11EDF1D44A"/>
  </w:style>
  <w:style w:type="paragraph" w:styleId="1720" w:customStyle="1">
    <w:name w:val="3A3E3E1E128643949FB243F7617F8CBD"/>
  </w:style>
  <w:style w:type="paragraph" w:styleId="1721" w:customStyle="1">
    <w:name w:val="22473156EDBC4E9C88E2E771C6D0E81F"/>
  </w:style>
  <w:style w:type="paragraph" w:styleId="1722" w:customStyle="1">
    <w:name w:val="582BAA6FD935433EA4461F3B1CD5D1C7"/>
  </w:style>
  <w:style w:type="paragraph" w:styleId="1723" w:customStyle="1">
    <w:name w:val="3091E3B201A44E5781130AF4DEFDA924"/>
  </w:style>
  <w:style w:type="paragraph" w:styleId="1724" w:customStyle="1">
    <w:name w:val="571347FB2C11422E85EA085A6C1E6F1B"/>
  </w:style>
  <w:style w:type="paragraph" w:styleId="1725" w:customStyle="1">
    <w:name w:val="7C06FB0B30D04183975BF557DBA87E39"/>
  </w:style>
  <w:style w:type="paragraph" w:styleId="1726" w:customStyle="1">
    <w:name w:val="ACC61602C4D741C0A39F723076793FDC"/>
  </w:style>
  <w:style w:type="paragraph" w:styleId="1727" w:customStyle="1">
    <w:name w:val="41D6AC4F73824DB3A03C33725F9817A1"/>
  </w:style>
  <w:style w:type="paragraph" w:styleId="1728" w:customStyle="1">
    <w:name w:val="0129662FEB654A1A848F5392FF1DFEEC"/>
  </w:style>
  <w:style w:type="paragraph" w:styleId="1729" w:customStyle="1">
    <w:name w:val="274FD4686E844948B838D7580A3F0E8E"/>
  </w:style>
  <w:style w:type="paragraph" w:styleId="1730" w:customStyle="1">
    <w:name w:val="DefaultPlaceholder_-1854013440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31" w:customStyle="1">
    <w:name w:val="E8AF4CB9DA7E4C8BB2492184D38BF920"/>
  </w:style>
  <w:style w:type="paragraph" w:styleId="1732" w:customStyle="1">
    <w:name w:val="2FC98C87F2B34B91BDD912DB97FA935C"/>
  </w:style>
  <w:style w:type="paragraph" w:styleId="1733" w:customStyle="1">
    <w:name w:val="CAF7E8F8143B457CB3DB71AE1FE19261"/>
  </w:style>
  <w:style w:type="paragraph" w:styleId="1734" w:customStyle="1">
    <w:name w:val="505456E8DF9C49CDA10693AAF0AA644E"/>
  </w:style>
  <w:style w:type="paragraph" w:styleId="1735" w:customStyle="1">
    <w:name w:val="31EED8E588CB4CC5A431205E099B079D"/>
  </w:style>
  <w:style w:type="paragraph" w:styleId="1736" w:customStyle="1">
    <w:name w:val="90A8278D82B84D1DAA04A217EDF5878F"/>
  </w:style>
  <w:style w:type="paragraph" w:styleId="1737" w:customStyle="1">
    <w:name w:val="DefaultPlaceholder_-18540134401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38" w:customStyle="1">
    <w:name w:val="878C06AB86554DB489776823D490AC70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39" w:customStyle="1">
    <w:name w:val="C5706BAB3D0E45AAA86D202EA5A8AC95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40" w:customStyle="1">
    <w:name w:val="411E684D148E40E5958AB812891B7F2D"/>
  </w:style>
  <w:style w:type="paragraph" w:styleId="1741" w:customStyle="1">
    <w:name w:val="C4A32CEF0F124A36A1C27894AEBDB0BA"/>
    <w:pPr>
      <w:spacing w:after="200" w:line="276" w:lineRule="auto"/>
    </w:pPr>
  </w:style>
  <w:style w:type="paragraph" w:styleId="1742" w:customStyle="1">
    <w:name w:val="E150AA39B44F4467BC9EFD3D1C967123"/>
    <w:pPr>
      <w:spacing w:after="200" w:line="276" w:lineRule="auto"/>
    </w:pPr>
  </w:style>
  <w:style w:type="paragraph" w:styleId="1743" w:customStyle="1">
    <w:name w:val="E773679D1DEE4D19963AC318D12F6EC1"/>
    <w:pPr>
      <w:spacing w:after="200" w:line="276" w:lineRule="auto"/>
    </w:pPr>
  </w:style>
  <w:style w:type="paragraph" w:styleId="1744" w:customStyle="1">
    <w:name w:val="732EC6E1461B4130BC8CD7077D7C6FF1"/>
    <w:pPr>
      <w:spacing w:after="200" w:line="276" w:lineRule="auto"/>
    </w:pPr>
  </w:style>
  <w:style w:type="paragraph" w:styleId="1745" w:customStyle="1">
    <w:name w:val="BF3C7D3F43EC435EA316988E8A7210E4"/>
    <w:pPr>
      <w:spacing w:after="200" w:line="276" w:lineRule="auto"/>
    </w:pPr>
  </w:style>
  <w:style w:type="paragraph" w:styleId="1746" w:customStyle="1">
    <w:name w:val="BDC0E268D7924BDFB5DAADDEF6B14F63"/>
    <w:pPr>
      <w:spacing w:after="200" w:line="276" w:lineRule="auto"/>
    </w:pPr>
  </w:style>
  <w:style w:type="paragraph" w:styleId="1747" w:customStyle="1">
    <w:name w:val="D9494D02E2D5426CB41CE56437FC823C"/>
    <w:pPr>
      <w:spacing w:after="200" w:line="276" w:lineRule="auto"/>
    </w:pPr>
  </w:style>
  <w:style w:type="paragraph" w:styleId="1748" w:customStyle="1">
    <w:name w:val="720A289EF0F84CF0AF0D07DCB49D7774"/>
    <w:pPr>
      <w:spacing w:after="200" w:line="276" w:lineRule="auto"/>
    </w:pPr>
  </w:style>
  <w:style w:type="paragraph" w:styleId="1749" w:customStyle="1">
    <w:name w:val="458EC6C3736843ED82E8870A7FCDCA0E"/>
    <w:pPr>
      <w:spacing w:after="200" w:line="276" w:lineRule="auto"/>
    </w:pPr>
  </w:style>
  <w:style w:type="paragraph" w:styleId="1750" w:customStyle="1">
    <w:name w:val="AAC5408F26BC42DFBEF9626EF7FECD18"/>
  </w:style>
  <w:style w:type="paragraph" w:styleId="1751" w:customStyle="1">
    <w:name w:val="DF78B948D9DB42CFA9727D66A7C0796B"/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90EEFCC84FA149ADA2CD66CB29159B" ma:contentTypeVersion="8" ma:contentTypeDescription="Create a new document." ma:contentTypeScope="" ma:versionID="c6ca1c52396a59cb922b5d57f71fa1ed">
  <xsd:schema xmlns:xsd="http://www.w3.org/2001/XMLSchema" xmlns:xs="http://www.w3.org/2001/XMLSchema" xmlns:p="http://schemas.microsoft.com/office/2006/metadata/properties" xmlns:ns2="73358637-5910-415a-b410-16803dee8bba" xmlns:ns3="8fd307a0-d795-4024-873f-abbb0b14981e" targetNamespace="http://schemas.microsoft.com/office/2006/metadata/properties" ma:root="true" ma:fieldsID="516d5814710d0b2b5e802d58f210a717" ns2:_="" ns3:_="">
    <xsd:import namespace="73358637-5910-415a-b410-16803dee8bba"/>
    <xsd:import namespace="8fd307a0-d795-4024-873f-abbb0b149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58637-5910-415a-b410-16803dee8b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307a0-d795-4024-873f-abbb0b1498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5A5B77-A93C-4488-80AF-ABC346541B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9F4FB-A4B8-496B-8F47-B5EF5DA51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358637-5910-415a-b410-16803dee8bba"/>
    <ds:schemaRef ds:uri="8fd307a0-d795-4024-873f-abbb0b149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A3D4EF-1356-4742-8DF2-116CA8C3B3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3A24A9-E41C-4089-A8AC-8A83878686A4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8fd307a0-d795-4024-873f-abbb0b14981e"/>
    <ds:schemaRef ds:uri="http://purl.org/dc/dcmitype/"/>
    <ds:schemaRef ds:uri="73358637-5910-415a-b410-16803dee8bba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ЗАО "Энергосервис - конкурентные закупки"</Company>
  <DocSecurity>0</DocSecurity>
  <HyperlinksChanged>false</HyperlinksChanged>
  <LinksUpToDate>false</LinksUpToDate>
  <Manager>ОАО РАО "ЕЭС России"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С.Б.Дашков</dc:creator>
  <cp:keywords/>
  <cp:lastModifiedBy>stepanova.ta</cp:lastModifiedBy>
  <cp:revision>456</cp:revision>
  <dcterms:created xsi:type="dcterms:W3CDTF">2020-06-17T20:07:00Z</dcterms:created>
  <dcterms:modified xsi:type="dcterms:W3CDTF">2026-05-25T06:52:06Z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0x0101004F90EEFCC84FA149ADA2CD66CB29159B</vt:lpwstr>
  </property>
</Properties>
</file>